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60" w:lineRule="exact"/>
        <w:rPr>
          <w:rFonts w:ascii="黑体" w:hAnsi="黑体" w:eastAsia="黑体" w:cs="黑体"/>
          <w:kern w:val="0"/>
          <w:sz w:val="32"/>
          <w:szCs w:val="32"/>
        </w:rPr>
      </w:pPr>
      <w:r>
        <w:rPr>
          <w:rFonts w:hint="eastAsia" w:ascii="黑体" w:hAnsi="黑体" w:eastAsia="黑体" w:cs="黑体"/>
          <w:kern w:val="0"/>
          <w:sz w:val="32"/>
          <w:szCs w:val="32"/>
          <w:lang w:val="zh-CN"/>
        </w:rPr>
        <w:t>附件</w:t>
      </w:r>
      <w:r>
        <w:rPr>
          <w:rFonts w:hint="eastAsia" w:ascii="黑体" w:hAnsi="黑体" w:eastAsia="黑体" w:cs="黑体"/>
          <w:kern w:val="0"/>
          <w:sz w:val="32"/>
          <w:szCs w:val="32"/>
        </w:rPr>
        <w:t>1</w:t>
      </w:r>
    </w:p>
    <w:p>
      <w:pPr>
        <w:autoSpaceDE w:val="0"/>
        <w:autoSpaceDN w:val="0"/>
        <w:adjustRightInd w:val="0"/>
        <w:spacing w:line="560" w:lineRule="exact"/>
        <w:ind w:right="-91"/>
        <w:jc w:val="center"/>
        <w:rPr>
          <w:rFonts w:ascii="方正小标宋简体" w:eastAsia="方正小标宋简体" w:cs="方正小标宋简体"/>
          <w:color w:val="000000"/>
          <w:spacing w:val="-20"/>
          <w:kern w:val="0"/>
          <w:sz w:val="44"/>
          <w:szCs w:val="44"/>
          <w:lang w:val="zh-CN"/>
        </w:rPr>
      </w:pPr>
    </w:p>
    <w:p>
      <w:pPr>
        <w:autoSpaceDE w:val="0"/>
        <w:autoSpaceDN w:val="0"/>
        <w:adjustRightInd w:val="0"/>
        <w:spacing w:line="560" w:lineRule="exact"/>
        <w:ind w:right="-91"/>
        <w:jc w:val="center"/>
        <w:rPr>
          <w:rFonts w:ascii="方正小标宋简体" w:eastAsia="方正小标宋简体" w:cs="方正小标宋简体"/>
          <w:color w:val="000000"/>
          <w:spacing w:val="-20"/>
          <w:kern w:val="0"/>
          <w:sz w:val="44"/>
          <w:szCs w:val="44"/>
          <w:lang w:val="zh-CN"/>
        </w:rPr>
      </w:pPr>
      <w:r>
        <w:rPr>
          <w:rFonts w:hint="eastAsia" w:ascii="方正小标宋简体" w:eastAsia="方正小标宋简体" w:cs="方正小标宋简体"/>
          <w:color w:val="000000"/>
          <w:spacing w:val="-20"/>
          <w:kern w:val="0"/>
          <w:sz w:val="44"/>
          <w:szCs w:val="44"/>
          <w:lang w:val="zh-CN"/>
        </w:rPr>
        <w:t>北京市住宅项目物业服务</w:t>
      </w:r>
      <w:r>
        <w:rPr>
          <w:rFonts w:hint="eastAsia" w:ascii="方正小标宋简体" w:eastAsia="方正小标宋简体" w:cs="方正小标宋简体"/>
          <w:color w:val="000000"/>
          <w:spacing w:val="-20"/>
          <w:kern w:val="0"/>
          <w:sz w:val="44"/>
          <w:szCs w:val="44"/>
        </w:rPr>
        <w:t>综合</w:t>
      </w:r>
      <w:r>
        <w:rPr>
          <w:rFonts w:hint="eastAsia" w:ascii="方正小标宋简体" w:eastAsia="方正小标宋简体" w:cs="方正小标宋简体"/>
          <w:color w:val="000000"/>
          <w:spacing w:val="-20"/>
          <w:kern w:val="0"/>
          <w:sz w:val="44"/>
          <w:szCs w:val="44"/>
          <w:lang w:val="zh-CN"/>
        </w:rPr>
        <w:t>监管实施方案</w:t>
      </w:r>
    </w:p>
    <w:p>
      <w:pPr>
        <w:autoSpaceDE w:val="0"/>
        <w:autoSpaceDN w:val="0"/>
        <w:adjustRightInd w:val="0"/>
        <w:spacing w:line="560" w:lineRule="exact"/>
        <w:rPr>
          <w:rFonts w:ascii="仿宋_GB2312" w:hAnsi="仿宋_GB2312" w:eastAsia="仿宋_GB2312" w:cs="仿宋_GB2312"/>
          <w:kern w:val="0"/>
          <w:sz w:val="32"/>
          <w:szCs w:val="32"/>
          <w:lang w:val="zh-CN"/>
        </w:rPr>
      </w:pPr>
    </w:p>
    <w:p>
      <w:pPr>
        <w:autoSpaceDE w:val="0"/>
        <w:autoSpaceDN w:val="0"/>
        <w:adjustRightInd w:val="0"/>
        <w:spacing w:line="560" w:lineRule="exact"/>
        <w:jc w:val="center"/>
        <w:rPr>
          <w:rFonts w:ascii="楷体_GB2312" w:hAnsi="楷体_GB2312" w:eastAsia="楷体_GB2312" w:cs="楷体_GB2312"/>
          <w:kern w:val="0"/>
          <w:sz w:val="32"/>
          <w:szCs w:val="32"/>
          <w:lang w:val="zh-CN"/>
        </w:rPr>
      </w:pPr>
      <w:r>
        <w:rPr>
          <w:rFonts w:hint="eastAsia" w:ascii="楷体_GB2312" w:hAnsi="楷体_GB2312" w:eastAsia="楷体_GB2312" w:cs="楷体_GB2312"/>
          <w:kern w:val="0"/>
          <w:sz w:val="32"/>
          <w:szCs w:val="32"/>
          <w:lang w:val="zh-CN"/>
        </w:rPr>
        <w:t>（征求意见稿）</w:t>
      </w:r>
    </w:p>
    <w:p>
      <w:pPr>
        <w:autoSpaceDE w:val="0"/>
        <w:autoSpaceDN w:val="0"/>
        <w:adjustRightInd w:val="0"/>
        <w:spacing w:line="560" w:lineRule="exact"/>
        <w:ind w:firstLine="640" w:firstLineChars="200"/>
        <w:rPr>
          <w:rFonts w:ascii="仿宋_GB2312" w:hAnsi="仿宋_GB2312" w:eastAsia="仿宋_GB2312" w:cs="仿宋_GB2312"/>
          <w:kern w:val="0"/>
          <w:sz w:val="32"/>
          <w:szCs w:val="32"/>
          <w:lang w:val="zh-CN"/>
        </w:rPr>
      </w:pPr>
    </w:p>
    <w:p>
      <w:pPr>
        <w:autoSpaceDE w:val="0"/>
        <w:autoSpaceDN w:val="0"/>
        <w:adjustRightInd w:val="0"/>
        <w:spacing w:line="560" w:lineRule="exact"/>
        <w:ind w:firstLine="640" w:firstLineChars="200"/>
        <w:rPr>
          <w:rFonts w:ascii="黑体" w:eastAsia="仿宋_GB2312" w:cs="黑体"/>
          <w:color w:val="000000"/>
          <w:kern w:val="0"/>
          <w:sz w:val="32"/>
          <w:szCs w:val="32"/>
          <w:lang w:val="zh-CN"/>
        </w:rPr>
      </w:pPr>
      <w:r>
        <w:rPr>
          <w:rFonts w:hint="eastAsia" w:ascii="仿宋_GB2312" w:hAnsi="仿宋_GB2312" w:eastAsia="仿宋_GB2312" w:cs="仿宋_GB2312"/>
          <w:kern w:val="0"/>
          <w:sz w:val="32"/>
          <w:szCs w:val="32"/>
        </w:rPr>
        <w:t>为进一步构建一体化综合监管体系，提高监管效能，依法保护物业管理相关主体合法权益，根据《优化营商环境条例》《国务院关于加强和规范事中事后监管的指导意见》《北京市物业管理条例》，按照北京市构建一体化综合监管体系的工作部署要求，持续深化“放管服”改革，全面推进本市物业管理行业健康有序发展，制定本方案。</w:t>
      </w:r>
    </w:p>
    <w:p>
      <w:pPr>
        <w:autoSpaceDE w:val="0"/>
        <w:autoSpaceDN w:val="0"/>
        <w:adjustRightInd w:val="0"/>
        <w:spacing w:line="560" w:lineRule="exact"/>
        <w:ind w:firstLine="640" w:firstLineChars="200"/>
        <w:rPr>
          <w:rFonts w:ascii="黑体" w:eastAsia="黑体" w:cs="黑体"/>
          <w:bCs/>
          <w:color w:val="000000"/>
          <w:kern w:val="0"/>
          <w:sz w:val="32"/>
          <w:szCs w:val="32"/>
          <w:lang w:val="zh-CN"/>
        </w:rPr>
      </w:pPr>
      <w:r>
        <w:rPr>
          <w:rFonts w:hint="eastAsia" w:ascii="黑体" w:eastAsia="黑体" w:cs="黑体"/>
          <w:bCs/>
          <w:color w:val="000000"/>
          <w:kern w:val="0"/>
          <w:sz w:val="32"/>
          <w:szCs w:val="32"/>
          <w:lang w:val="zh-CN"/>
        </w:rPr>
        <w:t>一、总体要求</w:t>
      </w:r>
    </w:p>
    <w:p>
      <w:pPr>
        <w:autoSpaceDE w:val="0"/>
        <w:autoSpaceDN w:val="0"/>
        <w:adjustRightInd w:val="0"/>
        <w:spacing w:line="560" w:lineRule="exact"/>
        <w:ind w:firstLine="669"/>
        <w:rPr>
          <w:rFonts w:ascii="楷体_GB2312" w:hAnsi="楷体_GB2312" w:eastAsia="楷体_GB2312" w:cs="楷体_GB2312"/>
          <w:bCs/>
          <w:color w:val="000000"/>
          <w:kern w:val="0"/>
          <w:sz w:val="32"/>
          <w:szCs w:val="32"/>
          <w:lang w:val="zh-CN"/>
        </w:rPr>
      </w:pPr>
      <w:r>
        <w:rPr>
          <w:rFonts w:hint="eastAsia" w:ascii="楷体_GB2312" w:hAnsi="楷体_GB2312" w:eastAsia="楷体_GB2312" w:cs="楷体_GB2312"/>
          <w:bCs/>
          <w:color w:val="000000"/>
          <w:kern w:val="0"/>
          <w:sz w:val="32"/>
          <w:szCs w:val="32"/>
          <w:lang w:val="zh-CN"/>
        </w:rPr>
        <w:t>（一）指导思想</w:t>
      </w:r>
    </w:p>
    <w:p>
      <w:pPr>
        <w:autoSpaceDE w:val="0"/>
        <w:autoSpaceDN w:val="0"/>
        <w:adjustRightInd w:val="0"/>
        <w:spacing w:line="560" w:lineRule="exact"/>
        <w:ind w:firstLine="669"/>
        <w:rPr>
          <w:rFonts w:ascii="仿宋_GB2312" w:hAnsi="仿宋_GB2312" w:eastAsia="仿宋_GB2312" w:cs="仿宋_GB2312"/>
          <w:bCs/>
          <w:color w:val="000000"/>
          <w:kern w:val="0"/>
          <w:sz w:val="32"/>
          <w:szCs w:val="32"/>
          <w:lang w:val="zh-CN"/>
        </w:rPr>
      </w:pPr>
      <w:r>
        <w:rPr>
          <w:rFonts w:hint="eastAsia" w:ascii="仿宋_GB2312" w:eastAsia="仿宋_GB2312"/>
          <w:bCs/>
          <w:color w:val="000000" w:themeColor="text1"/>
          <w:sz w:val="32"/>
          <w:szCs w:val="32"/>
          <w:lang w:val="zh-CN"/>
        </w:rPr>
        <w:t>以习近平新时代中国特色社会主义思想为指导，全面贯彻党的二十大精神</w:t>
      </w:r>
      <w:r>
        <w:rPr>
          <w:rFonts w:hint="eastAsia" w:ascii="仿宋_GB2312" w:hAnsi="仿宋_GB2312" w:eastAsia="仿宋_GB2312" w:cs="仿宋_GB2312"/>
          <w:kern w:val="0"/>
          <w:sz w:val="32"/>
          <w:szCs w:val="32"/>
          <w:lang w:val="zh-CN"/>
        </w:rPr>
        <w:t>，深入贯彻习近平总书记对北京重要讲话精神，树牢以人民为中心的发展思想，坚持问题导向、部门联动、精准监控、整体提升，抓好行业综合监管，实现物业管理水平明显提升和居</w:t>
      </w:r>
      <w:r>
        <w:rPr>
          <w:rFonts w:hint="eastAsia" w:ascii="仿宋_GB2312" w:hAnsi="仿宋_GB2312" w:eastAsia="仿宋_GB2312" w:cs="仿宋_GB2312"/>
          <w:bCs/>
          <w:color w:val="000000"/>
          <w:kern w:val="0"/>
          <w:sz w:val="32"/>
          <w:szCs w:val="32"/>
          <w:lang w:val="zh-CN"/>
        </w:rPr>
        <w:t>民群众满意度进一步提高的目标。</w:t>
      </w:r>
    </w:p>
    <w:p>
      <w:pPr>
        <w:autoSpaceDE w:val="0"/>
        <w:autoSpaceDN w:val="0"/>
        <w:adjustRightInd w:val="0"/>
        <w:spacing w:line="560" w:lineRule="exact"/>
        <w:ind w:firstLine="669"/>
        <w:rPr>
          <w:rFonts w:ascii="楷体_GB2312" w:hAnsi="楷体_GB2312" w:eastAsia="楷体_GB2312" w:cs="楷体_GB2312"/>
          <w:bCs/>
          <w:color w:val="000000"/>
          <w:kern w:val="0"/>
          <w:sz w:val="32"/>
          <w:szCs w:val="32"/>
          <w:lang w:val="zh-CN"/>
        </w:rPr>
      </w:pPr>
      <w:r>
        <w:rPr>
          <w:rFonts w:hint="eastAsia" w:ascii="楷体_GB2312" w:hAnsi="楷体_GB2312" w:eastAsia="楷体_GB2312" w:cs="楷体_GB2312"/>
          <w:bCs/>
          <w:color w:val="000000"/>
          <w:kern w:val="0"/>
          <w:sz w:val="32"/>
          <w:szCs w:val="32"/>
          <w:lang w:val="zh-CN"/>
        </w:rPr>
        <w:t>（二）工作目标</w:t>
      </w:r>
    </w:p>
    <w:p>
      <w:pPr>
        <w:autoSpaceDE w:val="0"/>
        <w:autoSpaceDN w:val="0"/>
        <w:adjustRightInd w:val="0"/>
        <w:spacing w:line="560" w:lineRule="exact"/>
        <w:ind w:firstLine="669"/>
        <w:rPr>
          <w:rFonts w:ascii="仿宋_GB2312" w:eastAsia="仿宋_GB2312"/>
          <w:sz w:val="32"/>
          <w:szCs w:val="32"/>
        </w:rPr>
      </w:pPr>
      <w:r>
        <w:rPr>
          <w:rFonts w:hint="eastAsia" w:ascii="仿宋_GB2312" w:hAnsi="仿宋_GB2312" w:eastAsia="仿宋_GB2312" w:cs="仿宋_GB2312"/>
          <w:bCs/>
          <w:color w:val="000000"/>
          <w:kern w:val="0"/>
          <w:sz w:val="32"/>
          <w:szCs w:val="32"/>
          <w:lang w:val="zh-CN"/>
        </w:rPr>
        <w:t>落实《北京市优化营商环</w:t>
      </w:r>
      <w:r>
        <w:rPr>
          <w:rFonts w:hint="eastAsia" w:ascii="仿宋_GB2312" w:hAnsi="仿宋_GB2312" w:eastAsia="仿宋_GB2312" w:cs="仿宋_GB2312"/>
          <w:kern w:val="0"/>
          <w:sz w:val="32"/>
          <w:szCs w:val="32"/>
        </w:rPr>
        <w:t>境条例》要求，完善住宅项目物业服务综合监管体系，建立以风险评估和信用评估为基础的综合监管机制，对本市住宅项目分类分级实施差异化监管。在有效提升监管效能的同时，进一步细化部门职责，优化现场检查频次，助力优化北京市营商环境。</w:t>
      </w:r>
    </w:p>
    <w:p>
      <w:pPr>
        <w:autoSpaceDE w:val="0"/>
        <w:autoSpaceDN w:val="0"/>
        <w:adjustRightInd w:val="0"/>
        <w:spacing w:line="560" w:lineRule="exact"/>
        <w:ind w:firstLine="669"/>
        <w:rPr>
          <w:rFonts w:ascii="楷体_GB2312" w:hAnsi="楷体_GB2312" w:eastAsia="楷体_GB2312" w:cs="楷体_GB2312"/>
          <w:bCs/>
          <w:color w:val="000000"/>
          <w:kern w:val="0"/>
          <w:sz w:val="32"/>
          <w:szCs w:val="32"/>
          <w:lang w:val="zh-CN"/>
        </w:rPr>
      </w:pPr>
      <w:r>
        <w:rPr>
          <w:rFonts w:hint="eastAsia" w:ascii="楷体_GB2312" w:hAnsi="楷体_GB2312" w:eastAsia="楷体_GB2312" w:cs="楷体_GB2312"/>
          <w:bCs/>
          <w:color w:val="000000"/>
          <w:kern w:val="0"/>
          <w:sz w:val="32"/>
          <w:szCs w:val="32"/>
          <w:lang w:val="zh-CN"/>
        </w:rPr>
        <w:t>（三）基本原则</w:t>
      </w:r>
    </w:p>
    <w:p>
      <w:pPr>
        <w:autoSpaceDE w:val="0"/>
        <w:autoSpaceDN w:val="0"/>
        <w:adjustRightInd w:val="0"/>
        <w:spacing w:line="560" w:lineRule="exact"/>
        <w:ind w:firstLine="669"/>
        <w:rPr>
          <w:rFonts w:ascii="仿宋_GB2312" w:hAnsi="仿宋_GB2312" w:eastAsia="仿宋_GB2312" w:cs="仿宋_GB2312"/>
          <w:bCs/>
          <w:color w:val="000000"/>
          <w:kern w:val="0"/>
          <w:sz w:val="32"/>
          <w:szCs w:val="32"/>
          <w:lang w:val="zh-CN"/>
        </w:rPr>
      </w:pPr>
      <w:r>
        <w:rPr>
          <w:rFonts w:hint="eastAsia" w:ascii="楷体_GB2312" w:hAnsi="楷体_GB2312" w:eastAsia="楷体_GB2312" w:cs="楷体_GB2312"/>
          <w:bCs/>
          <w:color w:val="000000"/>
          <w:kern w:val="0"/>
          <w:sz w:val="32"/>
          <w:szCs w:val="32"/>
          <w:lang w:val="zh-CN"/>
        </w:rPr>
        <w:t>一是部门联动，提升效能</w:t>
      </w:r>
      <w:r>
        <w:rPr>
          <w:rFonts w:hint="eastAsia" w:ascii="仿宋_GB2312" w:hAnsi="仿宋_GB2312" w:eastAsia="仿宋_GB2312" w:cs="仿宋_GB2312"/>
          <w:bCs/>
          <w:color w:val="000000"/>
          <w:kern w:val="0"/>
          <w:sz w:val="32"/>
          <w:szCs w:val="32"/>
          <w:lang w:val="zh-CN"/>
        </w:rPr>
        <w:t>。坚持监管主体一体化，整合各部门、各层级监管资源，强化上下联动、协同配合，实施立体化多维度监管，提高监管精准性、有效性。</w:t>
      </w:r>
    </w:p>
    <w:p>
      <w:pPr>
        <w:autoSpaceDE w:val="0"/>
        <w:autoSpaceDN w:val="0"/>
        <w:adjustRightInd w:val="0"/>
        <w:spacing w:line="560" w:lineRule="exact"/>
        <w:ind w:firstLine="669"/>
        <w:rPr>
          <w:rFonts w:ascii="仿宋_GB2312" w:hAnsi="仿宋_GB2312" w:eastAsia="仿宋_GB2312" w:cs="仿宋_GB2312"/>
          <w:bCs/>
          <w:color w:val="000000"/>
          <w:kern w:val="0"/>
          <w:sz w:val="32"/>
          <w:szCs w:val="32"/>
          <w:lang w:val="zh-CN"/>
        </w:rPr>
      </w:pPr>
      <w:r>
        <w:rPr>
          <w:rFonts w:hint="eastAsia" w:ascii="楷体_GB2312" w:hAnsi="楷体_GB2312" w:eastAsia="楷体_GB2312" w:cs="楷体_GB2312"/>
          <w:bCs/>
          <w:color w:val="000000"/>
          <w:kern w:val="0"/>
          <w:sz w:val="32"/>
          <w:szCs w:val="32"/>
          <w:lang w:val="zh-CN"/>
        </w:rPr>
        <w:t>二是科学精准，提升效率</w:t>
      </w:r>
      <w:r>
        <w:rPr>
          <w:rFonts w:hint="eastAsia" w:ascii="仿宋_GB2312" w:hAnsi="仿宋_GB2312" w:eastAsia="仿宋_GB2312" w:cs="仿宋_GB2312"/>
          <w:bCs/>
          <w:color w:val="000000"/>
          <w:kern w:val="0"/>
          <w:sz w:val="32"/>
          <w:szCs w:val="32"/>
          <w:lang w:val="zh-CN"/>
        </w:rPr>
        <w:t>。充分利用新技术、新方法，以风险和信用为基础，创新监管模式，分级分类、聚焦重点、全面覆盖，优化监管结构，提升监管效率。</w:t>
      </w:r>
    </w:p>
    <w:p>
      <w:pPr>
        <w:autoSpaceDE w:val="0"/>
        <w:autoSpaceDN w:val="0"/>
        <w:adjustRightInd w:val="0"/>
        <w:spacing w:line="560" w:lineRule="exact"/>
        <w:ind w:firstLine="669"/>
        <w:rPr>
          <w:rFonts w:ascii="仿宋_GB2312" w:hAnsi="仿宋_GB2312" w:eastAsia="仿宋_GB2312" w:cs="仿宋_GB2312"/>
          <w:bCs/>
          <w:color w:val="000000"/>
          <w:kern w:val="0"/>
          <w:sz w:val="32"/>
          <w:szCs w:val="32"/>
          <w:lang w:val="zh-CN"/>
        </w:rPr>
      </w:pPr>
      <w:r>
        <w:rPr>
          <w:rFonts w:hint="eastAsia" w:ascii="楷体_GB2312" w:hAnsi="楷体_GB2312" w:eastAsia="楷体_GB2312" w:cs="楷体_GB2312"/>
          <w:bCs/>
          <w:color w:val="000000"/>
          <w:kern w:val="0"/>
          <w:sz w:val="32"/>
          <w:szCs w:val="32"/>
          <w:lang w:val="zh-CN"/>
        </w:rPr>
        <w:t>三是行业自律，提升服务</w:t>
      </w:r>
      <w:r>
        <w:rPr>
          <w:rFonts w:hint="eastAsia" w:ascii="仿宋_GB2312" w:hAnsi="仿宋_GB2312" w:eastAsia="仿宋_GB2312" w:cs="仿宋_GB2312"/>
          <w:bCs/>
          <w:color w:val="000000"/>
          <w:kern w:val="0"/>
          <w:sz w:val="32"/>
          <w:szCs w:val="32"/>
          <w:lang w:val="zh-CN"/>
        </w:rPr>
        <w:t>。推行物业服务“企业自治+行业自律+政府监管+社会监督”的工作模式，强化行业主体法律意识，推动行业主体全面知法、</w:t>
      </w:r>
      <w:r>
        <w:rPr>
          <w:rFonts w:hint="eastAsia" w:ascii="仿宋_GB2312" w:hAnsi="仿宋_GB2312" w:eastAsia="仿宋_GB2312" w:cs="仿宋_GB2312"/>
          <w:bCs/>
          <w:color w:val="000000"/>
          <w:kern w:val="0"/>
          <w:sz w:val="32"/>
          <w:szCs w:val="32"/>
        </w:rPr>
        <w:t>自觉守法、服务依法</w:t>
      </w:r>
      <w:r>
        <w:rPr>
          <w:rFonts w:hint="eastAsia" w:ascii="仿宋_GB2312" w:hAnsi="仿宋_GB2312" w:eastAsia="仿宋_GB2312" w:cs="仿宋_GB2312"/>
          <w:bCs/>
          <w:color w:val="000000"/>
          <w:kern w:val="0"/>
          <w:sz w:val="32"/>
          <w:szCs w:val="32"/>
          <w:lang w:val="zh-CN"/>
        </w:rPr>
        <w:t>。</w:t>
      </w:r>
    </w:p>
    <w:p>
      <w:pPr>
        <w:autoSpaceDE w:val="0"/>
        <w:autoSpaceDN w:val="0"/>
        <w:adjustRightInd w:val="0"/>
        <w:spacing w:line="560" w:lineRule="exact"/>
        <w:ind w:firstLine="640" w:firstLineChars="200"/>
        <w:rPr>
          <w:rFonts w:ascii="仿宋_GB2312" w:hAnsi="仿宋_GB2312" w:eastAsia="仿宋_GB2312" w:cs="仿宋_GB2312"/>
          <w:bCs/>
          <w:color w:val="000000"/>
          <w:kern w:val="0"/>
          <w:sz w:val="32"/>
          <w:szCs w:val="32"/>
        </w:rPr>
      </w:pPr>
      <w:r>
        <w:rPr>
          <w:rFonts w:hint="eastAsia" w:ascii="黑体" w:eastAsia="黑体" w:cs="黑体"/>
          <w:bCs/>
          <w:color w:val="000000"/>
          <w:kern w:val="0"/>
          <w:sz w:val="32"/>
          <w:szCs w:val="32"/>
          <w:lang w:val="zh-CN"/>
        </w:rPr>
        <w:t>二、</w:t>
      </w:r>
      <w:r>
        <w:rPr>
          <w:rFonts w:hint="eastAsia" w:ascii="黑体" w:eastAsia="黑体" w:cs="黑体"/>
          <w:bCs/>
          <w:color w:val="000000"/>
          <w:kern w:val="0"/>
          <w:sz w:val="32"/>
          <w:szCs w:val="32"/>
        </w:rPr>
        <w:t>建立健全六项基本制度</w:t>
      </w:r>
    </w:p>
    <w:p>
      <w:pPr>
        <w:autoSpaceDE w:val="0"/>
        <w:autoSpaceDN w:val="0"/>
        <w:adjustRightInd w:val="0"/>
        <w:spacing w:line="560" w:lineRule="exact"/>
        <w:ind w:firstLine="640" w:firstLineChars="200"/>
        <w:rPr>
          <w:rFonts w:ascii="楷体" w:hAnsi="楷体" w:eastAsia="楷体" w:cs="楷体"/>
          <w:bCs/>
          <w:color w:val="000000"/>
          <w:kern w:val="0"/>
          <w:sz w:val="32"/>
          <w:szCs w:val="32"/>
        </w:rPr>
      </w:pPr>
      <w:r>
        <w:rPr>
          <w:rFonts w:hint="eastAsia" w:ascii="楷体" w:hAnsi="楷体" w:eastAsia="楷体" w:cs="楷体"/>
          <w:bCs/>
          <w:color w:val="000000"/>
          <w:kern w:val="0"/>
          <w:sz w:val="32"/>
          <w:szCs w:val="32"/>
          <w:lang w:val="zh-CN"/>
        </w:rPr>
        <w:t>（</w:t>
      </w:r>
      <w:r>
        <w:rPr>
          <w:rFonts w:hint="eastAsia" w:ascii="楷体" w:hAnsi="楷体" w:eastAsia="楷体" w:cs="楷体"/>
          <w:bCs/>
          <w:color w:val="000000"/>
          <w:kern w:val="0"/>
          <w:sz w:val="32"/>
          <w:szCs w:val="32"/>
        </w:rPr>
        <w:t>一</w:t>
      </w:r>
      <w:r>
        <w:rPr>
          <w:rFonts w:hint="eastAsia" w:ascii="楷体" w:hAnsi="楷体" w:eastAsia="楷体" w:cs="楷体"/>
          <w:bCs/>
          <w:color w:val="000000"/>
          <w:kern w:val="0"/>
          <w:sz w:val="32"/>
          <w:szCs w:val="32"/>
          <w:lang w:val="zh-CN"/>
        </w:rPr>
        <w:t>）</w:t>
      </w:r>
      <w:r>
        <w:rPr>
          <w:rFonts w:hint="eastAsia" w:ascii="楷体" w:hAnsi="楷体" w:eastAsia="楷体" w:cs="楷体"/>
          <w:bCs/>
          <w:color w:val="000000"/>
          <w:kern w:val="0"/>
          <w:sz w:val="32"/>
          <w:szCs w:val="32"/>
        </w:rPr>
        <w:t>建立健全</w:t>
      </w:r>
      <w:r>
        <w:rPr>
          <w:rFonts w:hint="eastAsia" w:ascii="楷体" w:hAnsi="楷体" w:eastAsia="楷体" w:cs="楷体"/>
          <w:bCs/>
          <w:color w:val="000000"/>
          <w:kern w:val="0"/>
          <w:sz w:val="32"/>
          <w:szCs w:val="32"/>
          <w:lang w:val="zh-CN"/>
        </w:rPr>
        <w:t>风险监管</w:t>
      </w:r>
      <w:r>
        <w:rPr>
          <w:rFonts w:hint="eastAsia" w:ascii="楷体" w:hAnsi="楷体" w:eastAsia="楷体" w:cs="楷体"/>
          <w:bCs/>
          <w:color w:val="000000"/>
          <w:kern w:val="0"/>
          <w:sz w:val="32"/>
          <w:szCs w:val="32"/>
        </w:rPr>
        <w:t>制度</w:t>
      </w:r>
    </w:p>
    <w:p>
      <w:pPr>
        <w:autoSpaceDE w:val="0"/>
        <w:autoSpaceDN w:val="0"/>
        <w:adjustRightInd w:val="0"/>
        <w:spacing w:line="560" w:lineRule="exact"/>
        <w:ind w:firstLine="640" w:firstLineChars="200"/>
        <w:rPr>
          <w:rFonts w:eastAsia="仿宋_GB2312"/>
        </w:rPr>
      </w:pPr>
      <w:r>
        <w:rPr>
          <w:rFonts w:hint="eastAsia" w:ascii="仿宋_GB2312" w:hAnsi="仿宋_GB2312" w:eastAsia="仿宋_GB2312" w:cs="仿宋_GB2312"/>
          <w:bCs/>
          <w:color w:val="000000"/>
          <w:kern w:val="0"/>
          <w:sz w:val="32"/>
          <w:szCs w:val="32"/>
        </w:rPr>
        <w:t>树立以风险防控为核心的监管理念，统筹住宅项目物业服务风险影响因素，构建住宅项目物业服务风险评估机制，全面开展风险评估（详见附件1）。</w:t>
      </w:r>
    </w:p>
    <w:p>
      <w:pPr>
        <w:numPr>
          <w:ilvl w:val="0"/>
          <w:numId w:val="2"/>
        </w:numPr>
        <w:autoSpaceDE w:val="0"/>
        <w:autoSpaceDN w:val="0"/>
        <w:adjustRightInd w:val="0"/>
        <w:spacing w:line="560" w:lineRule="exact"/>
        <w:ind w:firstLine="640" w:firstLineChars="200"/>
        <w:rPr>
          <w:rFonts w:ascii="楷体" w:hAnsi="楷体" w:eastAsia="楷体" w:cs="楷体"/>
          <w:bCs/>
          <w:color w:val="000000" w:themeColor="text1"/>
          <w:kern w:val="0"/>
          <w:sz w:val="32"/>
          <w:szCs w:val="32"/>
        </w:rPr>
      </w:pPr>
      <w:r>
        <w:rPr>
          <w:rFonts w:hint="eastAsia" w:ascii="楷体" w:hAnsi="楷体" w:eastAsia="楷体" w:cs="楷体"/>
          <w:bCs/>
          <w:color w:val="000000" w:themeColor="text1"/>
          <w:kern w:val="0"/>
          <w:sz w:val="32"/>
          <w:szCs w:val="32"/>
        </w:rPr>
        <w:t>建立健全</w:t>
      </w:r>
      <w:r>
        <w:rPr>
          <w:rFonts w:hint="eastAsia" w:ascii="楷体" w:hAnsi="楷体" w:eastAsia="楷体" w:cs="楷体"/>
          <w:bCs/>
          <w:color w:val="000000" w:themeColor="text1"/>
          <w:kern w:val="0"/>
          <w:sz w:val="32"/>
          <w:szCs w:val="32"/>
          <w:lang w:val="zh-CN"/>
        </w:rPr>
        <w:t>信用评估</w:t>
      </w:r>
      <w:r>
        <w:rPr>
          <w:rFonts w:hint="eastAsia" w:ascii="楷体" w:hAnsi="楷体" w:eastAsia="楷体" w:cs="楷体"/>
          <w:bCs/>
          <w:color w:val="000000" w:themeColor="text1"/>
          <w:kern w:val="0"/>
          <w:sz w:val="32"/>
          <w:szCs w:val="32"/>
        </w:rPr>
        <w:t>制度</w:t>
      </w:r>
    </w:p>
    <w:p>
      <w:pPr>
        <w:autoSpaceDE w:val="0"/>
        <w:autoSpaceDN w:val="0"/>
        <w:adjustRightInd w:val="0"/>
        <w:spacing w:line="560" w:lineRule="exact"/>
        <w:ind w:firstLine="640" w:firstLineChars="200"/>
        <w:rPr>
          <w:rFonts w:ascii="仿宋_GB2312" w:eastAsia="仿宋_GB2312"/>
          <w:sz w:val="32"/>
          <w:szCs w:val="32"/>
        </w:rPr>
      </w:pPr>
      <w:r>
        <w:rPr>
          <w:rFonts w:hint="eastAsia" w:ascii="仿宋_GB2312" w:eastAsia="仿宋_GB2312"/>
          <w:sz w:val="32"/>
          <w:szCs w:val="32"/>
        </w:rPr>
        <w:t>完善物业管理行业信用监管，通过统筹住宅项目</w:t>
      </w:r>
      <w:r>
        <w:rPr>
          <w:rFonts w:hint="eastAsia" w:ascii="仿宋_GB2312" w:hAnsi="仿宋_GB2312" w:eastAsia="仿宋_GB2312" w:cs="仿宋_GB2312"/>
          <w:color w:val="000000" w:themeColor="text1"/>
          <w:sz w:val="32"/>
          <w:szCs w:val="32"/>
        </w:rPr>
        <w:t>物业服务违法违规问题被投诉、</w:t>
      </w:r>
      <w:r>
        <w:rPr>
          <w:rFonts w:hint="eastAsia" w:ascii="仿宋_GB2312" w:eastAsia="仿宋_GB2312"/>
          <w:sz w:val="32"/>
          <w:szCs w:val="32"/>
        </w:rPr>
        <w:t>行政处罚及表彰奖励情况等监管记录，对全市住宅项目物业服务实施四等九级信用评价（详见附件2）。</w:t>
      </w:r>
    </w:p>
    <w:p>
      <w:pPr>
        <w:numPr>
          <w:ilvl w:val="0"/>
          <w:numId w:val="2"/>
        </w:numPr>
        <w:autoSpaceDE w:val="0"/>
        <w:autoSpaceDN w:val="0"/>
        <w:adjustRightInd w:val="0"/>
        <w:spacing w:line="560" w:lineRule="exact"/>
        <w:ind w:firstLine="640" w:firstLineChars="200"/>
        <w:rPr>
          <w:rFonts w:ascii="楷体" w:hAnsi="楷体" w:eastAsia="楷体" w:cs="楷体"/>
          <w:bCs/>
          <w:color w:val="000000"/>
          <w:kern w:val="0"/>
          <w:sz w:val="32"/>
          <w:szCs w:val="32"/>
        </w:rPr>
      </w:pPr>
      <w:r>
        <w:rPr>
          <w:rFonts w:hint="eastAsia" w:ascii="楷体" w:hAnsi="楷体" w:eastAsia="楷体" w:cs="楷体"/>
          <w:bCs/>
          <w:color w:val="000000"/>
          <w:kern w:val="0"/>
          <w:sz w:val="32"/>
          <w:szCs w:val="32"/>
        </w:rPr>
        <w:t>建立健全</w:t>
      </w:r>
      <w:r>
        <w:rPr>
          <w:rFonts w:hint="eastAsia" w:ascii="楷体" w:hAnsi="楷体" w:eastAsia="楷体" w:cs="楷体"/>
          <w:bCs/>
          <w:color w:val="000000"/>
          <w:kern w:val="0"/>
          <w:sz w:val="32"/>
          <w:szCs w:val="32"/>
          <w:lang w:val="zh-CN"/>
        </w:rPr>
        <w:t>分类分级监管</w:t>
      </w:r>
      <w:r>
        <w:rPr>
          <w:rFonts w:hint="eastAsia" w:ascii="楷体" w:hAnsi="楷体" w:eastAsia="楷体" w:cs="楷体"/>
          <w:bCs/>
          <w:color w:val="000000"/>
          <w:kern w:val="0"/>
          <w:sz w:val="32"/>
          <w:szCs w:val="32"/>
        </w:rPr>
        <w:t>制度</w:t>
      </w:r>
    </w:p>
    <w:p>
      <w:pPr>
        <w:autoSpaceDE w:val="0"/>
        <w:autoSpaceDN w:val="0"/>
        <w:adjustRightInd w:val="0"/>
        <w:spacing w:line="560" w:lineRule="exact"/>
        <w:ind w:firstLine="640" w:firstLineChars="200"/>
        <w:rPr>
          <w:rFonts w:ascii="仿宋_GB2312" w:eastAsia="仿宋_GB2312"/>
          <w:sz w:val="32"/>
          <w:szCs w:val="32"/>
        </w:rPr>
      </w:pPr>
      <w:r>
        <w:rPr>
          <w:rFonts w:hint="eastAsia" w:ascii="仿宋_GB2312" w:hAnsi="仿宋_GB2312" w:eastAsia="仿宋_GB2312" w:cs="仿宋_GB2312"/>
          <w:kern w:val="0"/>
          <w:sz w:val="32"/>
          <w:szCs w:val="32"/>
        </w:rPr>
        <w:t>基于“风险+信用”的分级监管，</w:t>
      </w:r>
      <w:r>
        <w:rPr>
          <w:rFonts w:hint="eastAsia" w:ascii="仿宋_GB2312" w:eastAsia="仿宋_GB2312"/>
          <w:sz w:val="32"/>
          <w:szCs w:val="32"/>
        </w:rPr>
        <w:t>统筹风险监管与信用监管两个维度，优化监管频次，针对不同级别的监管对象，实施差异化精准监管（详见附件3）。</w:t>
      </w:r>
    </w:p>
    <w:p>
      <w:pPr>
        <w:numPr>
          <w:ilvl w:val="0"/>
          <w:numId w:val="2"/>
        </w:numPr>
        <w:autoSpaceDE w:val="0"/>
        <w:autoSpaceDN w:val="0"/>
        <w:adjustRightInd w:val="0"/>
        <w:spacing w:line="560" w:lineRule="exact"/>
        <w:ind w:firstLine="640" w:firstLineChars="200"/>
        <w:rPr>
          <w:rFonts w:ascii="楷体" w:hAnsi="楷体" w:eastAsia="楷体" w:cs="楷体"/>
          <w:color w:val="000000"/>
          <w:kern w:val="0"/>
          <w:sz w:val="32"/>
          <w:szCs w:val="32"/>
          <w:lang w:val="zh-CN"/>
        </w:rPr>
      </w:pPr>
      <w:r>
        <w:rPr>
          <w:rFonts w:hint="eastAsia" w:ascii="楷体" w:hAnsi="楷体" w:eastAsia="楷体" w:cs="楷体"/>
          <w:color w:val="000000"/>
          <w:kern w:val="0"/>
          <w:sz w:val="32"/>
          <w:szCs w:val="32"/>
          <w:lang w:val="zh-CN"/>
        </w:rPr>
        <w:t>建立健全联合监管制度</w:t>
      </w:r>
    </w:p>
    <w:p>
      <w:pPr>
        <w:autoSpaceDE w:val="0"/>
        <w:autoSpaceDN w:val="0"/>
        <w:adjustRightIn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依托“接诉即办”“吹哨报到”工作机制，督促落实街道（乡镇）主体责任；加强市级部门统筹，开展物业管理突出问题专项治理；加强区级组织领导，发挥各区主责作用（详见附件4）。</w:t>
      </w:r>
    </w:p>
    <w:p>
      <w:pPr>
        <w:numPr>
          <w:ilvl w:val="0"/>
          <w:numId w:val="2"/>
        </w:numPr>
        <w:autoSpaceDE w:val="0"/>
        <w:autoSpaceDN w:val="0"/>
        <w:adjustRightInd w:val="0"/>
        <w:spacing w:line="560" w:lineRule="exact"/>
        <w:ind w:firstLine="640" w:firstLineChars="200"/>
        <w:rPr>
          <w:rFonts w:ascii="楷体" w:hAnsi="楷体" w:eastAsia="楷体" w:cs="楷体"/>
          <w:color w:val="000000"/>
          <w:kern w:val="0"/>
          <w:sz w:val="32"/>
          <w:szCs w:val="32"/>
        </w:rPr>
      </w:pPr>
      <w:r>
        <w:rPr>
          <w:rFonts w:hint="eastAsia" w:ascii="楷体" w:hAnsi="楷体" w:eastAsia="楷体" w:cs="楷体"/>
          <w:color w:val="000000"/>
          <w:kern w:val="0"/>
          <w:sz w:val="32"/>
          <w:szCs w:val="32"/>
          <w:lang w:val="zh-CN"/>
        </w:rPr>
        <w:t>建立项目备案及信息采集</w:t>
      </w:r>
      <w:r>
        <w:rPr>
          <w:rFonts w:hint="eastAsia" w:ascii="楷体" w:hAnsi="楷体" w:eastAsia="楷体" w:cs="楷体"/>
          <w:color w:val="000000"/>
          <w:kern w:val="0"/>
          <w:sz w:val="32"/>
          <w:szCs w:val="32"/>
        </w:rPr>
        <w:t>制度</w:t>
      </w:r>
    </w:p>
    <w:p>
      <w:pPr>
        <w:autoSpaceDE w:val="0"/>
        <w:autoSpaceDN w:val="0"/>
        <w:adjustRightInd w:val="0"/>
        <w:spacing w:line="560" w:lineRule="exact"/>
        <w:ind w:firstLine="640" w:firstLineChars="200"/>
        <w:rPr>
          <w:rFonts w:ascii="仿宋_GB2312" w:eastAsia="仿宋_GB2312"/>
          <w:sz w:val="32"/>
          <w:szCs w:val="32"/>
        </w:rPr>
      </w:pPr>
      <w:r>
        <w:rPr>
          <w:rFonts w:hint="eastAsia" w:ascii="仿宋_GB2312" w:eastAsia="仿宋_GB2312"/>
          <w:sz w:val="32"/>
          <w:szCs w:val="32"/>
        </w:rPr>
        <w:t>充分发挥科学技术优势，利用科学技术手段，</w:t>
      </w:r>
      <w:r>
        <w:rPr>
          <w:rFonts w:hint="eastAsia" w:ascii="仿宋_GB2312" w:hAnsi="仿宋" w:eastAsia="仿宋_GB2312"/>
          <w:sz w:val="32"/>
          <w:szCs w:val="32"/>
        </w:rPr>
        <w:t>做好住宅物业项目备案及信息采集，</w:t>
      </w:r>
      <w:r>
        <w:rPr>
          <w:rFonts w:hint="eastAsia" w:ascii="仿宋_GB2312" w:eastAsia="仿宋_GB2312"/>
          <w:bCs/>
          <w:color w:val="000000" w:themeColor="text1"/>
          <w:sz w:val="32"/>
          <w:szCs w:val="32"/>
        </w:rPr>
        <w:t>收集、管理、更新物业项目综合监管“风险+信用”评价信息</w:t>
      </w:r>
      <w:r>
        <w:rPr>
          <w:rFonts w:hint="eastAsia" w:ascii="仿宋_GB2312" w:hAnsi="仿宋" w:eastAsia="仿宋_GB2312"/>
          <w:sz w:val="32"/>
          <w:szCs w:val="32"/>
        </w:rPr>
        <w:t>，着力提升“北京业主”APP使用效能，加快物业管理信息系统建设，加快推进“一网通办”，信息为优化监管手段奠定数据基础，健全物业管理行业科技监管制度（详见附件5）。</w:t>
      </w:r>
    </w:p>
    <w:p>
      <w:pPr>
        <w:numPr>
          <w:ilvl w:val="0"/>
          <w:numId w:val="2"/>
        </w:numPr>
        <w:spacing w:line="560" w:lineRule="exact"/>
        <w:ind w:firstLine="640" w:firstLineChars="200"/>
        <w:rPr>
          <w:rFonts w:ascii="楷体_GB2312" w:hAnsi="仿宋_GB2312" w:eastAsia="楷体_GB2312" w:cs="仿宋_GB2312"/>
          <w:sz w:val="32"/>
          <w:szCs w:val="32"/>
        </w:rPr>
      </w:pPr>
      <w:r>
        <w:rPr>
          <w:rFonts w:hint="eastAsia" w:ascii="楷体_GB2312" w:hAnsi="仿宋_GB2312" w:eastAsia="楷体_GB2312" w:cs="仿宋_GB2312"/>
          <w:sz w:val="32"/>
          <w:szCs w:val="32"/>
        </w:rPr>
        <w:t>建立健全共治监管制度</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构建党委领导、政府主导、居民自治、多方参与、协商共建、行业自律的共治工作格局，将物业服务企业和业主委员会纳入基层治理体系，构建权责清晰、齐抓共管的联动服务机制，充分发挥“吹哨报到”工作机制，</w:t>
      </w:r>
      <w:r>
        <w:rPr>
          <w:rFonts w:hint="eastAsia" w:ascii="仿宋_GB2312" w:hAnsi="仿宋_GB2312" w:eastAsia="仿宋_GB2312" w:cs="仿宋_GB2312"/>
          <w:kern w:val="0"/>
          <w:sz w:val="32"/>
          <w:szCs w:val="32"/>
        </w:rPr>
        <w:t>发挥共治监管成效,</w:t>
      </w:r>
      <w:r>
        <w:rPr>
          <w:rFonts w:hint="eastAsia" w:ascii="仿宋_GB2312" w:hAnsi="仿宋_GB2312" w:eastAsia="仿宋_GB2312" w:cs="仿宋_GB2312"/>
          <w:sz w:val="32"/>
          <w:szCs w:val="32"/>
        </w:rPr>
        <w:t>进一步激发各方主体的积极性，提升物业服务水平</w:t>
      </w:r>
      <w:r>
        <w:rPr>
          <w:rFonts w:hint="eastAsia" w:ascii="仿宋_GB2312" w:hAnsi="仿宋_GB2312" w:eastAsia="仿宋_GB2312" w:cs="仿宋_GB2312"/>
          <w:kern w:val="0"/>
          <w:sz w:val="32"/>
          <w:szCs w:val="32"/>
        </w:rPr>
        <w:t>（详见附件6）。</w:t>
      </w:r>
    </w:p>
    <w:p>
      <w:pPr>
        <w:pStyle w:val="12"/>
        <w:spacing w:line="560" w:lineRule="exact"/>
        <w:ind w:firstLine="640" w:firstLineChars="200"/>
        <w:rPr>
          <w:rFonts w:ascii="黑体" w:hAnsi="黑体" w:eastAsia="黑体" w:cs="黑体"/>
          <w:color w:val="000000"/>
          <w:kern w:val="0"/>
          <w:sz w:val="32"/>
          <w:szCs w:val="32"/>
        </w:rPr>
      </w:pPr>
      <w:r>
        <w:rPr>
          <w:rFonts w:hint="eastAsia" w:ascii="黑体" w:hAnsi="黑体" w:eastAsia="黑体" w:cs="黑体"/>
          <w:color w:val="000000"/>
          <w:kern w:val="0"/>
          <w:sz w:val="32"/>
          <w:szCs w:val="32"/>
        </w:rPr>
        <w:t>三、开展物业服务企业场景监管</w:t>
      </w:r>
    </w:p>
    <w:p>
      <w:pPr>
        <w:spacing w:line="560" w:lineRule="exact"/>
        <w:ind w:firstLine="640" w:firstLineChars="200"/>
        <w:rPr>
          <w:rFonts w:ascii="仿宋_GB2312" w:eastAsia="仿宋_GB2312"/>
          <w:sz w:val="32"/>
          <w:szCs w:val="32"/>
        </w:rPr>
      </w:pPr>
      <w:r>
        <w:rPr>
          <w:rFonts w:hint="eastAsia" w:ascii="楷体" w:hAnsi="楷体" w:eastAsia="楷体" w:cs="楷体"/>
          <w:sz w:val="32"/>
          <w:szCs w:val="32"/>
        </w:rPr>
        <w:t>（一）推</w:t>
      </w:r>
      <w:r>
        <w:rPr>
          <w:rFonts w:hint="eastAsia" w:ascii="楷体" w:hAnsi="楷体" w:eastAsia="楷体" w:cs="楷体"/>
          <w:bCs/>
          <w:color w:val="000000"/>
          <w:kern w:val="0"/>
          <w:sz w:val="32"/>
          <w:szCs w:val="32"/>
        </w:rPr>
        <w:t>行一业一册</w:t>
      </w:r>
      <w:r>
        <w:rPr>
          <w:rFonts w:hint="eastAsia" w:ascii="仿宋_GB2312" w:eastAsia="仿宋_GB2312"/>
          <w:sz w:val="32"/>
          <w:szCs w:val="32"/>
        </w:rPr>
        <w:t>。</w:t>
      </w:r>
      <w:r>
        <w:rPr>
          <w:rFonts w:hint="eastAsia" w:ascii="仿宋_GB2312" w:eastAsia="仿宋_GB2312"/>
          <w:bCs/>
          <w:color w:val="000000" w:themeColor="text1"/>
          <w:sz w:val="32"/>
          <w:szCs w:val="32"/>
        </w:rPr>
        <w:t>从市场主体视角出发，依据物业管理现行法律、法规和强制性标准，整合各部门监管规则和标准，由市住房城乡建设委牵头编制《住宅项目物业服务合规手册》，一次性告知物业服务企业从事经营活动应遵守的监管规则和标准，并提示违规风险和法律责任</w:t>
      </w:r>
      <w:r>
        <w:rPr>
          <w:rFonts w:hint="eastAsia" w:ascii="仿宋_GB2312" w:hAnsi="仿宋_GB2312" w:eastAsia="仿宋_GB2312" w:cs="仿宋_GB2312"/>
          <w:kern w:val="0"/>
          <w:sz w:val="32"/>
          <w:szCs w:val="32"/>
        </w:rPr>
        <w:t>（详见附件7）</w:t>
      </w:r>
      <w:r>
        <w:rPr>
          <w:rFonts w:hint="eastAsia" w:ascii="仿宋_GB2312" w:eastAsia="仿宋_GB2312"/>
          <w:sz w:val="32"/>
          <w:szCs w:val="32"/>
        </w:rPr>
        <w:t>。</w:t>
      </w:r>
    </w:p>
    <w:p>
      <w:pPr>
        <w:pStyle w:val="12"/>
        <w:spacing w:line="560" w:lineRule="exact"/>
        <w:ind w:firstLine="640" w:firstLineChars="200"/>
        <w:rPr>
          <w:rFonts w:ascii="仿宋_GB2312" w:eastAsia="仿宋_GB2312"/>
          <w:sz w:val="32"/>
          <w:szCs w:val="32"/>
        </w:rPr>
      </w:pPr>
      <w:r>
        <w:rPr>
          <w:rFonts w:hint="eastAsia" w:ascii="楷体" w:hAnsi="楷体" w:eastAsia="楷体" w:cs="楷体"/>
          <w:sz w:val="32"/>
          <w:szCs w:val="32"/>
        </w:rPr>
        <w:t>（二）推</w:t>
      </w:r>
      <w:r>
        <w:rPr>
          <w:rFonts w:hint="eastAsia" w:ascii="楷体" w:hAnsi="楷体" w:eastAsia="楷体" w:cs="楷体"/>
          <w:bCs/>
          <w:color w:val="000000"/>
          <w:kern w:val="0"/>
          <w:sz w:val="32"/>
          <w:szCs w:val="32"/>
        </w:rPr>
        <w:t>行一业一单</w:t>
      </w:r>
      <w:r>
        <w:rPr>
          <w:rFonts w:hint="eastAsia" w:ascii="楷体" w:hAnsi="楷体" w:eastAsia="楷体" w:cs="楷体"/>
          <w:sz w:val="32"/>
          <w:szCs w:val="32"/>
        </w:rPr>
        <w:t>。</w:t>
      </w:r>
      <w:r>
        <w:rPr>
          <w:rFonts w:hint="eastAsia" w:ascii="仿宋_GB2312" w:eastAsia="仿宋_GB2312" w:hAnsiTheme="minorHAnsi"/>
          <w:bCs/>
          <w:color w:val="000000" w:themeColor="text1"/>
          <w:sz w:val="32"/>
          <w:szCs w:val="32"/>
        </w:rPr>
        <w:t>梳理汇总物业服务企业检查项、检查内容、检查合格标准，由市住房城乡建设委牵头编制《物业服务场景综合检查单》（纳入《住宅项目物业服务合规手册》）</w:t>
      </w:r>
      <w:r>
        <w:rPr>
          <w:rFonts w:hint="eastAsia" w:ascii="仿宋_GB2312" w:eastAsia="仿宋_GB2312"/>
          <w:sz w:val="32"/>
          <w:szCs w:val="32"/>
        </w:rPr>
        <w:t>，严格执行检查单制度，按照检查单所列内容开展检查，确保检查规范性。</w:t>
      </w:r>
    </w:p>
    <w:p>
      <w:pPr>
        <w:pStyle w:val="12"/>
        <w:spacing w:line="560" w:lineRule="exact"/>
        <w:ind w:firstLine="640" w:firstLineChars="200"/>
        <w:rPr>
          <w:rFonts w:ascii="仿宋_GB2312" w:hAnsi="仿宋_GB2312" w:eastAsia="仿宋_GB2312" w:cs="仿宋_GB2312"/>
          <w:sz w:val="32"/>
          <w:szCs w:val="32"/>
        </w:rPr>
      </w:pPr>
      <w:r>
        <w:rPr>
          <w:rFonts w:hint="eastAsia" w:ascii="楷体" w:hAnsi="楷体" w:eastAsia="楷体" w:cs="楷体"/>
          <w:sz w:val="32"/>
          <w:szCs w:val="32"/>
        </w:rPr>
        <w:t>（三）推行</w:t>
      </w:r>
      <w:r>
        <w:rPr>
          <w:rFonts w:hint="eastAsia" w:ascii="楷体" w:hAnsi="楷体" w:eastAsia="楷体" w:cs="楷体"/>
          <w:bCs/>
          <w:color w:val="000000"/>
          <w:kern w:val="0"/>
          <w:sz w:val="32"/>
          <w:szCs w:val="32"/>
        </w:rPr>
        <w:t>一业一查</w:t>
      </w:r>
      <w:r>
        <w:rPr>
          <w:rFonts w:hint="eastAsia" w:ascii="楷体" w:hAnsi="楷体" w:eastAsia="楷体" w:cs="楷体"/>
          <w:sz w:val="32"/>
          <w:szCs w:val="32"/>
        </w:rPr>
        <w:t>。</w:t>
      </w:r>
      <w:r>
        <w:rPr>
          <w:rFonts w:hint="eastAsia" w:ascii="仿宋_GB2312" w:hAnsi="仿宋_GB2312" w:eastAsia="仿宋_GB2312" w:cs="仿宋_GB2312"/>
          <w:sz w:val="32"/>
          <w:szCs w:val="32"/>
        </w:rPr>
        <w:t>按照“管审批必须管监管、管行业必须管监管、管业务必须管监管”的工作原则，依据编制的</w:t>
      </w:r>
      <w:r>
        <w:rPr>
          <w:rFonts w:hint="eastAsia" w:ascii="仿宋_GB2312" w:hAnsi="Times New Roman" w:eastAsia="仿宋_GB2312"/>
          <w:sz w:val="32"/>
          <w:szCs w:val="32"/>
        </w:rPr>
        <w:t>《住宅项目物业服务联合监管制度》，建</w:t>
      </w:r>
      <w:r>
        <w:rPr>
          <w:rFonts w:hint="eastAsia" w:ascii="仿宋_GB2312" w:hAnsi="仿宋_GB2312" w:eastAsia="仿宋_GB2312" w:cs="仿宋_GB2312"/>
          <w:sz w:val="32"/>
          <w:szCs w:val="32"/>
        </w:rPr>
        <w:t>立由行业主管部门牵头、相关部门参与的协同监管机制，优化检查方式，开展联合检查。</w:t>
      </w:r>
      <w:r>
        <w:rPr>
          <w:rFonts w:hint="eastAsia" w:ascii="仿宋_GB2312" w:eastAsia="仿宋_GB2312" w:hAnsiTheme="minorHAnsi"/>
          <w:bCs/>
          <w:color w:val="000000" w:themeColor="text1"/>
          <w:sz w:val="32"/>
          <w:szCs w:val="32"/>
        </w:rPr>
        <w:t>A岗执法人员现场检查时，利用“京办”“综合监管</w:t>
      </w:r>
      <w:r>
        <w:rPr>
          <w:rFonts w:ascii="仿宋_GB2312" w:eastAsia="仿宋_GB2312" w:hAnsiTheme="minorHAnsi"/>
          <w:bCs/>
          <w:color w:val="000000" w:themeColor="text1"/>
          <w:sz w:val="32"/>
          <w:szCs w:val="32"/>
        </w:rPr>
        <w:t>e</w:t>
      </w:r>
      <w:r>
        <w:rPr>
          <w:rFonts w:hint="eastAsia" w:ascii="仿宋_GB2312" w:eastAsia="仿宋_GB2312" w:hAnsiTheme="minorHAnsi"/>
          <w:bCs/>
          <w:color w:val="000000" w:themeColor="text1"/>
          <w:sz w:val="32"/>
          <w:szCs w:val="32"/>
        </w:rPr>
        <w:t>码查”小程序，积极推行“一码查”</w:t>
      </w:r>
      <w:r>
        <w:rPr>
          <w:rFonts w:hint="eastAsia" w:ascii="仿宋_GB2312" w:eastAsia="仿宋_GB2312"/>
          <w:sz w:val="32"/>
          <w:szCs w:val="32"/>
        </w:rPr>
        <w:t>。</w:t>
      </w:r>
    </w:p>
    <w:p>
      <w:pPr>
        <w:spacing w:line="560" w:lineRule="exact"/>
        <w:ind w:firstLine="640" w:firstLineChars="200"/>
        <w:rPr>
          <w:rFonts w:ascii="仿宋_GB2312" w:eastAsia="仿宋_GB2312"/>
          <w:bCs/>
          <w:color w:val="000000" w:themeColor="text1"/>
          <w:sz w:val="32"/>
          <w:szCs w:val="32"/>
        </w:rPr>
      </w:pPr>
      <w:r>
        <w:rPr>
          <w:rFonts w:hint="eastAsia" w:ascii="楷体" w:hAnsi="楷体" w:eastAsia="楷体" w:cs="楷体"/>
          <w:sz w:val="32"/>
          <w:szCs w:val="32"/>
        </w:rPr>
        <w:t>（四）推行</w:t>
      </w:r>
      <w:r>
        <w:rPr>
          <w:rFonts w:hint="eastAsia" w:ascii="楷体" w:hAnsi="楷体" w:eastAsia="楷体" w:cs="楷体"/>
          <w:bCs/>
          <w:color w:val="000000"/>
          <w:kern w:val="0"/>
          <w:sz w:val="32"/>
          <w:szCs w:val="32"/>
        </w:rPr>
        <w:t>一业一评</w:t>
      </w:r>
      <w:r>
        <w:rPr>
          <w:rFonts w:hint="eastAsia" w:ascii="楷体" w:hAnsi="楷体" w:eastAsia="楷体" w:cs="楷体"/>
          <w:sz w:val="32"/>
          <w:szCs w:val="32"/>
        </w:rPr>
        <w:t>。</w:t>
      </w:r>
      <w:r>
        <w:rPr>
          <w:rFonts w:hint="eastAsia" w:ascii="仿宋_GB2312" w:eastAsia="仿宋_GB2312"/>
          <w:sz w:val="32"/>
          <w:szCs w:val="32"/>
        </w:rPr>
        <w:t>对市场主体开展“风险+信用”综合评价，建立以风险防控为核心、信用行为为根本的分类分级评价机制。各区主管部门根据综合评价结果，形成行业分类分级监管台账，明确监管方式，制定监管计划。台账主要包括项目名称、所在区和街道（乡镇）、物业服务企业名称、分级分类等级等内容。</w:t>
      </w:r>
      <w:r>
        <w:rPr>
          <w:rFonts w:ascii="仿宋_GB2312" w:eastAsia="仿宋_GB2312"/>
          <w:bCs/>
          <w:color w:val="000000" w:themeColor="text1"/>
          <w:sz w:val="32"/>
          <w:szCs w:val="32"/>
        </w:rPr>
        <w:t>2024</w:t>
      </w:r>
      <w:r>
        <w:rPr>
          <w:rFonts w:hint="eastAsia" w:ascii="仿宋_GB2312" w:eastAsia="仿宋_GB2312"/>
          <w:bCs/>
          <w:color w:val="000000" w:themeColor="text1"/>
          <w:sz w:val="32"/>
          <w:szCs w:val="32"/>
        </w:rPr>
        <w:t>年</w:t>
      </w:r>
      <w:r>
        <w:rPr>
          <w:rFonts w:ascii="仿宋_GB2312" w:eastAsia="仿宋_GB2312"/>
          <w:bCs/>
          <w:color w:val="000000" w:themeColor="text1"/>
          <w:sz w:val="32"/>
          <w:szCs w:val="32"/>
        </w:rPr>
        <w:t>3</w:t>
      </w:r>
      <w:r>
        <w:rPr>
          <w:rFonts w:hint="eastAsia" w:ascii="仿宋_GB2312" w:eastAsia="仿宋_GB2312"/>
          <w:bCs/>
          <w:color w:val="000000" w:themeColor="text1"/>
          <w:sz w:val="32"/>
          <w:szCs w:val="32"/>
        </w:rPr>
        <w:t>月</w:t>
      </w:r>
      <w:r>
        <w:rPr>
          <w:rFonts w:ascii="仿宋_GB2312" w:eastAsia="仿宋_GB2312"/>
          <w:bCs/>
          <w:color w:val="000000" w:themeColor="text1"/>
          <w:sz w:val="32"/>
          <w:szCs w:val="32"/>
        </w:rPr>
        <w:t>31</w:t>
      </w:r>
      <w:r>
        <w:rPr>
          <w:rFonts w:hint="eastAsia" w:ascii="仿宋_GB2312" w:eastAsia="仿宋_GB2312"/>
          <w:bCs/>
          <w:color w:val="000000" w:themeColor="text1"/>
          <w:sz w:val="32"/>
          <w:szCs w:val="32"/>
        </w:rPr>
        <w:t>日前各区完成本辖区内备案住宅物业服务项目“风险+信用”综合评价，并将分类分级监管台账报送市住房城乡建设委，此后每年3月份根据上年物业服务项目情况，更新分类分级监管台账。</w:t>
      </w:r>
    </w:p>
    <w:p>
      <w:pPr>
        <w:autoSpaceDE w:val="0"/>
        <w:autoSpaceDN w:val="0"/>
        <w:adjustRightInd w:val="0"/>
        <w:spacing w:line="560" w:lineRule="exact"/>
        <w:ind w:firstLine="640" w:firstLineChars="200"/>
        <w:rPr>
          <w:rFonts w:ascii="黑体" w:eastAsia="黑体" w:cs="黑体"/>
          <w:color w:val="000000"/>
          <w:kern w:val="0"/>
          <w:sz w:val="32"/>
          <w:szCs w:val="32"/>
          <w:lang w:val="zh-CN"/>
        </w:rPr>
      </w:pPr>
      <w:r>
        <w:rPr>
          <w:rFonts w:hint="eastAsia" w:ascii="黑体" w:eastAsia="黑体" w:cs="黑体"/>
          <w:color w:val="000000"/>
          <w:kern w:val="0"/>
          <w:sz w:val="32"/>
          <w:szCs w:val="32"/>
        </w:rPr>
        <w:t>四</w:t>
      </w:r>
      <w:r>
        <w:rPr>
          <w:rFonts w:ascii="黑体" w:eastAsia="黑体" w:cs="黑体"/>
          <w:color w:val="000000"/>
          <w:kern w:val="0"/>
          <w:sz w:val="32"/>
          <w:szCs w:val="32"/>
          <w:lang w:val="zh-CN"/>
        </w:rPr>
        <w:t>、</w:t>
      </w:r>
      <w:r>
        <w:rPr>
          <w:rFonts w:hint="eastAsia" w:ascii="黑体" w:eastAsia="黑体" w:cs="黑体"/>
          <w:color w:val="000000"/>
          <w:kern w:val="0"/>
          <w:sz w:val="32"/>
          <w:szCs w:val="32"/>
          <w:lang w:val="zh-CN"/>
        </w:rPr>
        <w:t>保障</w:t>
      </w:r>
      <w:r>
        <w:rPr>
          <w:rFonts w:hint="eastAsia" w:ascii="黑体" w:eastAsia="黑体" w:cs="黑体"/>
          <w:color w:val="000000"/>
          <w:kern w:val="0"/>
          <w:sz w:val="32"/>
          <w:szCs w:val="32"/>
        </w:rPr>
        <w:t>措施</w:t>
      </w:r>
    </w:p>
    <w:p>
      <w:pPr>
        <w:adjustRightInd w:val="0"/>
        <w:snapToGrid w:val="0"/>
        <w:spacing w:line="560" w:lineRule="exact"/>
        <w:ind w:firstLine="640" w:firstLineChars="200"/>
        <w:rPr>
          <w:rFonts w:ascii="仿宋_GB2312" w:eastAsia="仿宋_GB2312"/>
          <w:bCs/>
          <w:color w:val="000000" w:themeColor="text1"/>
          <w:sz w:val="32"/>
          <w:szCs w:val="32"/>
        </w:rPr>
      </w:pPr>
      <w:r>
        <w:rPr>
          <w:rFonts w:hint="eastAsia" w:ascii="楷体_GB2312" w:hAnsi="仿宋_GB2312" w:eastAsia="楷体_GB2312" w:cs="仿宋_GB2312"/>
          <w:kern w:val="0"/>
          <w:sz w:val="32"/>
          <w:szCs w:val="32"/>
        </w:rPr>
        <w:t>（一）</w:t>
      </w:r>
      <w:r>
        <w:rPr>
          <w:rFonts w:hint="eastAsia" w:ascii="楷体_GB2312" w:hAnsi="仿宋_GB2312" w:eastAsia="楷体_GB2312" w:cs="仿宋_GB2312"/>
          <w:sz w:val="32"/>
          <w:szCs w:val="32"/>
        </w:rPr>
        <w:t>加强组织领导。</w:t>
      </w:r>
      <w:r>
        <w:rPr>
          <w:rFonts w:hint="eastAsia" w:ascii="仿宋_GB2312" w:hAnsi="仿宋_GB2312" w:eastAsia="仿宋_GB2312" w:cs="仿宋_GB2312"/>
          <w:sz w:val="32"/>
          <w:szCs w:val="32"/>
        </w:rPr>
        <w:t>市住房城乡建设委</w:t>
      </w:r>
      <w:r>
        <w:rPr>
          <w:rFonts w:hint="eastAsia" w:ascii="仿宋_GB2312" w:hAnsi="仿宋_GB2312" w:eastAsia="仿宋_GB2312" w:cs="仿宋_GB2312"/>
          <w:sz w:val="32"/>
          <w:szCs w:val="32"/>
          <w:lang w:val="zh-CN"/>
        </w:rPr>
        <w:t>加强对住宅项目物业服务综合监管工作的统筹协调和指导督促，</w:t>
      </w:r>
      <w:r>
        <w:rPr>
          <w:rFonts w:hint="eastAsia" w:ascii="仿宋_GB2312" w:hAnsi="仿宋_GB2312" w:eastAsia="仿宋_GB2312" w:cs="仿宋_GB2312"/>
          <w:sz w:val="32"/>
          <w:szCs w:val="32"/>
        </w:rPr>
        <w:t>各区各部门要切实提高认识，</w:t>
      </w:r>
      <w:r>
        <w:rPr>
          <w:rFonts w:hint="eastAsia" w:ascii="仿宋_GB2312" w:eastAsia="仿宋_GB2312"/>
          <w:bCs/>
          <w:color w:val="000000" w:themeColor="text1"/>
          <w:sz w:val="32"/>
          <w:szCs w:val="32"/>
        </w:rPr>
        <w:t>抓紧部署展开工作</w:t>
      </w:r>
      <w:r>
        <w:rPr>
          <w:rFonts w:hint="eastAsia" w:ascii="仿宋_GB2312" w:hAnsi="仿宋_GB2312" w:eastAsia="仿宋_GB2312" w:cs="仿宋_GB2312"/>
          <w:sz w:val="32"/>
          <w:szCs w:val="32"/>
        </w:rPr>
        <w:t>，推进</w:t>
      </w:r>
      <w:r>
        <w:rPr>
          <w:rFonts w:hint="eastAsia" w:ascii="仿宋_GB2312" w:hAnsi="宋体" w:eastAsia="仿宋_GB2312" w:cs="宋体"/>
          <w:sz w:val="32"/>
          <w:szCs w:val="32"/>
        </w:rPr>
        <w:t>各项政策措施落实。</w:t>
      </w:r>
      <w:r>
        <w:rPr>
          <w:rFonts w:hint="eastAsia" w:ascii="仿宋_GB2312" w:eastAsia="仿宋_GB2312"/>
          <w:bCs/>
          <w:color w:val="000000" w:themeColor="text1"/>
          <w:sz w:val="32"/>
          <w:szCs w:val="32"/>
        </w:rPr>
        <w:t>鼓励大胆探索实践，形成管用实用经验做法。</w:t>
      </w:r>
    </w:p>
    <w:p>
      <w:pPr>
        <w:pStyle w:val="23"/>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楷体" w:hAnsi="楷体" w:eastAsia="楷体" w:cs="楷体"/>
          <w:sz w:val="32"/>
          <w:szCs w:val="32"/>
        </w:rPr>
        <w:t>（</w:t>
      </w:r>
      <w:r>
        <w:rPr>
          <w:rFonts w:hint="eastAsia" w:ascii="楷体_GB2312" w:hAnsi="楷体_GB2312" w:eastAsia="楷体_GB2312" w:cs="楷体_GB2312"/>
          <w:kern w:val="2"/>
          <w:sz w:val="32"/>
          <w:szCs w:val="32"/>
        </w:rPr>
        <w:t>二）严格落实责任。</w:t>
      </w:r>
      <w:r>
        <w:rPr>
          <w:rFonts w:hint="eastAsia" w:ascii="仿宋_GB2312" w:hAnsi="仿宋_GB2312" w:eastAsia="仿宋_GB2312" w:cs="仿宋_GB2312"/>
          <w:kern w:val="2"/>
          <w:sz w:val="32"/>
          <w:szCs w:val="32"/>
        </w:rPr>
        <w:t>各区各部门要强化责任担当，将住宅项目物业服务综合监管</w:t>
      </w:r>
      <w:r>
        <w:rPr>
          <w:rFonts w:hint="eastAsia" w:ascii="仿宋_GB2312" w:eastAsia="仿宋_GB2312" w:hAnsiTheme="minorHAnsi" w:cstheme="minorBidi"/>
          <w:bCs/>
          <w:color w:val="000000" w:themeColor="text1"/>
          <w:kern w:val="2"/>
          <w:sz w:val="32"/>
          <w:szCs w:val="32"/>
        </w:rPr>
        <w:t>作为优化营商环境的</w:t>
      </w:r>
      <w:r>
        <w:rPr>
          <w:rFonts w:hint="eastAsia" w:ascii="仿宋_GB2312" w:hAnsi="仿宋_GB2312" w:eastAsia="仿宋_GB2312" w:cs="仿宋_GB2312"/>
          <w:kern w:val="2"/>
          <w:sz w:val="32"/>
          <w:szCs w:val="32"/>
        </w:rPr>
        <w:t>重要工作抓紧抓好，严格按照“谁审批、谁监管，谁主管、谁监管”原则，切实履行监管职责。</w:t>
      </w:r>
    </w:p>
    <w:p>
      <w:pPr>
        <w:spacing w:line="56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（三）加强培训宣传。</w:t>
      </w:r>
      <w:r>
        <w:rPr>
          <w:rFonts w:hint="eastAsia" w:ascii="仿宋_GB2312" w:hAnsi="仿宋_GB2312" w:eastAsia="仿宋_GB2312" w:cs="仿宋_GB2312"/>
          <w:sz w:val="32"/>
          <w:szCs w:val="32"/>
        </w:rPr>
        <w:t>加大对执法人员指导培训力度，提升执法人员特别是基层执法人员专业能力。加强对创新和综合监管的宣传和引导，主动做好政策解读，积极回应社会关切。总结和推广经验做法，培养和树立先进典型，营造严格规范、公正文明监管的良好社会氛围。</w:t>
      </w:r>
    </w:p>
    <w:p>
      <w:pPr>
        <w:spacing w:line="560" w:lineRule="exact"/>
        <w:ind w:firstLine="640" w:firstLineChars="200"/>
        <w:rPr>
          <w:rFonts w:ascii="仿宋_GB2312" w:hAnsi="楷体" w:eastAsia="仿宋_GB2312" w:cs="仿宋_GB2312"/>
          <w:sz w:val="32"/>
          <w:szCs w:val="32"/>
        </w:rPr>
      </w:pPr>
      <w:r>
        <w:rPr>
          <w:rFonts w:hint="eastAsia" w:ascii="楷体" w:hAnsi="楷体" w:eastAsia="楷体" w:cs="楷体"/>
          <w:sz w:val="32"/>
          <w:szCs w:val="32"/>
        </w:rPr>
        <w:t>（四）强化信息报送。</w:t>
      </w:r>
      <w:r>
        <w:rPr>
          <w:rFonts w:hint="eastAsia" w:ascii="仿宋_GB2312" w:hAnsi="楷体" w:eastAsia="仿宋_GB2312" w:cs="仿宋_GB2312"/>
          <w:sz w:val="32"/>
          <w:szCs w:val="32"/>
        </w:rPr>
        <w:t>各区各部门要结合辖区工作实际，建立健全各项工作制度，明确专人负责，</w:t>
      </w:r>
      <w:r>
        <w:rPr>
          <w:rFonts w:hint="eastAsia" w:ascii="仿宋_GB2312" w:eastAsia="仿宋_GB2312"/>
          <w:bCs/>
          <w:color w:val="000000" w:themeColor="text1"/>
          <w:sz w:val="32"/>
          <w:szCs w:val="32"/>
        </w:rPr>
        <w:t>于每月最后一周</w:t>
      </w:r>
      <w:r>
        <w:rPr>
          <w:rFonts w:hint="eastAsia" w:ascii="仿宋_GB2312" w:hAnsi="楷体" w:eastAsia="仿宋_GB2312" w:cs="仿宋_GB2312"/>
          <w:sz w:val="32"/>
          <w:szCs w:val="32"/>
        </w:rPr>
        <w:t>将工作进展、好经验好做法、生动案例及存在的</w:t>
      </w:r>
      <w:r>
        <w:rPr>
          <w:rFonts w:hint="eastAsia" w:ascii="仿宋_GB2312" w:eastAsia="仿宋_GB2312"/>
          <w:bCs/>
          <w:color w:val="000000" w:themeColor="text1"/>
          <w:sz w:val="32"/>
          <w:szCs w:val="32"/>
        </w:rPr>
        <w:t>矛盾问题</w:t>
      </w:r>
      <w:r>
        <w:rPr>
          <w:rFonts w:hint="eastAsia" w:ascii="仿宋_GB2312" w:hAnsi="楷体" w:eastAsia="仿宋_GB2312" w:cs="仿宋_GB2312"/>
          <w:sz w:val="32"/>
          <w:szCs w:val="32"/>
        </w:rPr>
        <w:t>报送至市级相关行业主管部门。</w:t>
      </w:r>
    </w:p>
    <w:p>
      <w:pPr>
        <w:spacing w:line="560" w:lineRule="exact"/>
        <w:ind w:firstLine="640" w:firstLineChars="200"/>
        <w:rPr>
          <w:rFonts w:ascii="仿宋_GB2312" w:hAnsi="楷体" w:eastAsia="仿宋_GB2312" w:cs="仿宋_GB2312"/>
          <w:sz w:val="32"/>
          <w:szCs w:val="32"/>
        </w:rPr>
      </w:pPr>
    </w:p>
    <w:p>
      <w:pPr>
        <w:spacing w:line="560" w:lineRule="exact"/>
        <w:ind w:firstLine="640" w:firstLineChars="200"/>
        <w:rPr>
          <w:rFonts w:ascii="仿宋_GB2312" w:hAnsi="楷体" w:eastAsia="仿宋_GB2312" w:cs="仿宋_GB2312"/>
          <w:sz w:val="32"/>
          <w:szCs w:val="32"/>
        </w:rPr>
      </w:pPr>
      <w:r>
        <w:rPr>
          <w:rFonts w:hint="eastAsia" w:ascii="仿宋_GB2312" w:hAnsi="楷体" w:eastAsia="仿宋_GB2312" w:cs="仿宋_GB2312"/>
          <w:sz w:val="32"/>
          <w:szCs w:val="32"/>
        </w:rPr>
        <w:t>附件：1.住宅项目物业服务综合监管风险评估制度</w:t>
      </w:r>
    </w:p>
    <w:p>
      <w:pPr>
        <w:pStyle w:val="12"/>
        <w:tabs>
          <w:tab w:val="left" w:pos="1281"/>
          <w:tab w:val="left" w:pos="1311"/>
        </w:tabs>
        <w:spacing w:line="560" w:lineRule="exact"/>
        <w:ind w:firstLine="1600" w:firstLineChars="500"/>
        <w:rPr>
          <w:rFonts w:ascii="仿宋_GB2312" w:hAnsi="楷体" w:eastAsia="仿宋_GB2312" w:cs="仿宋_GB2312"/>
          <w:sz w:val="32"/>
          <w:szCs w:val="32"/>
        </w:rPr>
      </w:pPr>
      <w:r>
        <w:rPr>
          <w:rFonts w:hint="eastAsia" w:ascii="仿宋_GB2312" w:hAnsi="楷体" w:eastAsia="仿宋_GB2312" w:cs="仿宋_GB2312"/>
          <w:sz w:val="32"/>
          <w:szCs w:val="32"/>
        </w:rPr>
        <w:t>2.住宅项目物业服务综合监管信用评估制度</w:t>
      </w:r>
    </w:p>
    <w:p>
      <w:pPr>
        <w:pStyle w:val="12"/>
        <w:spacing w:line="560" w:lineRule="exact"/>
        <w:ind w:firstLine="1600" w:firstLineChars="500"/>
        <w:rPr>
          <w:rFonts w:ascii="仿宋_GB2312" w:hAnsi="楷体" w:eastAsia="仿宋_GB2312" w:cs="仿宋_GB2312"/>
          <w:sz w:val="32"/>
          <w:szCs w:val="32"/>
        </w:rPr>
      </w:pPr>
      <w:r>
        <w:rPr>
          <w:rFonts w:hint="eastAsia" w:ascii="仿宋_GB2312" w:hAnsi="楷体" w:eastAsia="仿宋_GB2312" w:cs="仿宋_GB2312"/>
          <w:sz w:val="32"/>
          <w:szCs w:val="32"/>
        </w:rPr>
        <w:t>3.住宅项目物业服务综合监管分类分级监管制度</w:t>
      </w:r>
    </w:p>
    <w:p>
      <w:pPr>
        <w:pStyle w:val="12"/>
        <w:spacing w:line="560" w:lineRule="exact"/>
        <w:ind w:firstLine="1600" w:firstLineChars="500"/>
        <w:rPr>
          <w:rFonts w:ascii="仿宋_GB2312" w:hAnsi="楷体" w:eastAsia="仿宋_GB2312" w:cs="仿宋_GB2312"/>
          <w:sz w:val="32"/>
          <w:szCs w:val="32"/>
        </w:rPr>
      </w:pPr>
      <w:r>
        <w:rPr>
          <w:rFonts w:hint="eastAsia" w:ascii="仿宋_GB2312" w:hAnsi="楷体" w:eastAsia="仿宋_GB2312" w:cs="仿宋_GB2312"/>
          <w:sz w:val="32"/>
          <w:szCs w:val="32"/>
        </w:rPr>
        <w:t>4.住宅项目物业服务联合监管制度</w:t>
      </w:r>
    </w:p>
    <w:p>
      <w:pPr>
        <w:pStyle w:val="12"/>
        <w:spacing w:line="560" w:lineRule="exact"/>
        <w:ind w:firstLine="1600" w:firstLineChars="500"/>
        <w:rPr>
          <w:rFonts w:ascii="仿宋_GB2312" w:hAnsi="楷体" w:eastAsia="仿宋_GB2312" w:cs="仿宋_GB2312"/>
          <w:sz w:val="32"/>
          <w:szCs w:val="32"/>
        </w:rPr>
      </w:pPr>
      <w:r>
        <w:rPr>
          <w:rFonts w:hint="eastAsia" w:ascii="仿宋_GB2312" w:hAnsi="楷体" w:eastAsia="仿宋_GB2312" w:cs="仿宋_GB2312"/>
          <w:sz w:val="32"/>
          <w:szCs w:val="32"/>
        </w:rPr>
        <w:t>5.住宅物业项目备案及信息采集工作制度</w:t>
      </w:r>
    </w:p>
    <w:p>
      <w:pPr>
        <w:pStyle w:val="12"/>
        <w:spacing w:line="560" w:lineRule="exact"/>
        <w:ind w:firstLine="1600" w:firstLineChars="500"/>
        <w:rPr>
          <w:rFonts w:ascii="仿宋_GB2312" w:hAnsi="楷体" w:eastAsia="仿宋_GB2312" w:cs="仿宋_GB2312"/>
          <w:sz w:val="32"/>
          <w:szCs w:val="32"/>
        </w:rPr>
      </w:pPr>
      <w:r>
        <w:rPr>
          <w:rFonts w:hint="eastAsia" w:ascii="仿宋_GB2312" w:hAnsi="楷体" w:eastAsia="仿宋_GB2312" w:cs="仿宋_GB2312"/>
          <w:sz w:val="32"/>
          <w:szCs w:val="32"/>
        </w:rPr>
        <w:t>6.住宅项目物业服务综合监管共治制度</w:t>
      </w:r>
    </w:p>
    <w:p>
      <w:pPr>
        <w:pStyle w:val="12"/>
        <w:spacing w:line="560" w:lineRule="exact"/>
        <w:ind w:firstLine="1600" w:firstLineChars="500"/>
        <w:rPr>
          <w:rFonts w:ascii="仿宋_GB2312" w:hAnsi="楷体" w:eastAsia="仿宋_GB2312" w:cs="仿宋_GB2312"/>
          <w:sz w:val="32"/>
          <w:szCs w:val="32"/>
        </w:rPr>
      </w:pPr>
      <w:r>
        <w:rPr>
          <w:rFonts w:hint="eastAsia" w:ascii="仿宋_GB2312" w:hAnsi="楷体" w:eastAsia="仿宋_GB2312" w:cs="仿宋_GB2312"/>
          <w:sz w:val="32"/>
          <w:szCs w:val="32"/>
        </w:rPr>
        <w:t>7.</w:t>
      </w:r>
      <w:r>
        <w:rPr>
          <w:rFonts w:hint="eastAsia" w:ascii="仿宋_GB2312" w:eastAsia="仿宋_GB2312"/>
          <w:sz w:val="32"/>
          <w:szCs w:val="32"/>
        </w:rPr>
        <w:t>住宅项目物业服务合规手册</w:t>
      </w: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rPr>
          <w:rFonts w:ascii="黑体" w:hAnsi="黑体" w:eastAsia="黑体" w:cs="黑体"/>
          <w:bCs/>
          <w:color w:val="000000"/>
          <w:kern w:val="0"/>
          <w:sz w:val="32"/>
          <w:szCs w:val="32"/>
        </w:rPr>
      </w:pPr>
    </w:p>
    <w:p>
      <w:pPr>
        <w:pStyle w:val="12"/>
        <w:spacing w:line="560" w:lineRule="exact"/>
        <w:ind w:firstLine="1600" w:firstLineChars="500"/>
        <w:rPr>
          <w:rFonts w:ascii="仿宋_GB2312" w:eastAsia="仿宋_GB2312"/>
          <w:sz w:val="32"/>
          <w:szCs w:val="32"/>
        </w:rPr>
      </w:pPr>
    </w:p>
    <w:p>
      <w:pPr>
        <w:autoSpaceDE w:val="0"/>
        <w:autoSpaceDN w:val="0"/>
        <w:adjustRightInd w:val="0"/>
        <w:spacing w:line="560" w:lineRule="exact"/>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附件1</w:t>
      </w:r>
    </w:p>
    <w:p>
      <w:pPr>
        <w:pStyle w:val="12"/>
        <w:spacing w:line="560" w:lineRule="exact"/>
        <w:rPr>
          <w:rFonts w:ascii="黑体" w:hAnsi="黑体" w:eastAsia="黑体" w:cs="黑体"/>
          <w:bCs/>
          <w:color w:val="000000"/>
          <w:kern w:val="0"/>
          <w:sz w:val="32"/>
          <w:szCs w:val="32"/>
        </w:rPr>
      </w:pPr>
    </w:p>
    <w:p>
      <w:pPr>
        <w:pStyle w:val="12"/>
        <w:spacing w:line="560" w:lineRule="exact"/>
        <w:jc w:val="center"/>
        <w:rPr>
          <w:rFonts w:ascii="方正小标宋简体" w:hAnsi="方正小标宋简体" w:eastAsia="方正小标宋简体" w:cs="方正小标宋简体"/>
          <w:bCs/>
          <w:color w:val="000000"/>
          <w:kern w:val="0"/>
          <w:sz w:val="44"/>
          <w:szCs w:val="44"/>
        </w:rPr>
      </w:pPr>
      <w:r>
        <w:rPr>
          <w:rFonts w:hint="eastAsia" w:ascii="方正小标宋简体" w:hAnsi="方正小标宋简体" w:eastAsia="方正小标宋简体" w:cs="方正小标宋简体"/>
          <w:bCs/>
          <w:color w:val="000000"/>
          <w:kern w:val="0"/>
          <w:sz w:val="44"/>
          <w:szCs w:val="44"/>
        </w:rPr>
        <w:t>住宅项目物业服务综合监管风险评估制度</w:t>
      </w:r>
    </w:p>
    <w:p>
      <w:pPr>
        <w:autoSpaceDE w:val="0"/>
        <w:autoSpaceDN w:val="0"/>
        <w:adjustRightInd w:val="0"/>
        <w:spacing w:line="560" w:lineRule="exact"/>
        <w:rPr>
          <w:rFonts w:ascii="仿宋_GB2312" w:eastAsia="仿宋_GB2312"/>
          <w:color w:val="000000" w:themeColor="text1"/>
          <w:sz w:val="32"/>
          <w:szCs w:val="32"/>
        </w:rPr>
      </w:pPr>
    </w:p>
    <w:p>
      <w:pPr>
        <w:autoSpaceDE w:val="0"/>
        <w:autoSpaceDN w:val="0"/>
        <w:adjustRightInd w:val="0"/>
        <w:spacing w:line="560" w:lineRule="exact"/>
        <w:ind w:firstLine="640" w:firstLineChars="200"/>
      </w:pPr>
      <w:r>
        <w:rPr>
          <w:rFonts w:hint="eastAsia" w:ascii="仿宋_GB2312" w:hAnsi="仿宋_GB2312" w:eastAsia="仿宋_GB2312" w:cs="仿宋_GB2312"/>
          <w:b/>
          <w:bCs/>
          <w:color w:val="000000" w:themeColor="text1"/>
          <w:sz w:val="32"/>
          <w:szCs w:val="32"/>
        </w:rPr>
        <w:t>第一条</w:t>
      </w:r>
      <w:r>
        <w:rPr>
          <w:rFonts w:hint="eastAsia" w:ascii="仿宋_GB2312" w:hAnsi="仿宋_GB2312" w:eastAsia="仿宋_GB2312" w:cs="仿宋_GB2312"/>
          <w:color w:val="000000" w:themeColor="text1"/>
          <w:sz w:val="32"/>
          <w:szCs w:val="32"/>
        </w:rPr>
        <w:t xml:space="preserve">  </w:t>
      </w:r>
      <w:r>
        <w:rPr>
          <w:rFonts w:hint="eastAsia" w:ascii="仿宋_GB2312" w:eastAsia="仿宋_GB2312"/>
          <w:color w:val="000000" w:themeColor="text1"/>
          <w:sz w:val="32"/>
          <w:szCs w:val="32"/>
        </w:rPr>
        <w:t>为进一步加大全市住宅项目物业服务监管力度，</w:t>
      </w:r>
      <w:r>
        <w:rPr>
          <w:rFonts w:hint="eastAsia" w:ascii="仿宋_GB2312" w:hAnsi="仿宋_GB2312" w:eastAsia="仿宋_GB2312" w:cs="仿宋_GB2312"/>
          <w:color w:val="000000" w:themeColor="text1"/>
          <w:sz w:val="32"/>
          <w:szCs w:val="32"/>
        </w:rPr>
        <w:t>准确识别住宅项目物业服务潜在风险及其影响程度，综合判定住宅项目物业服务风险等级，特制定本制度。</w:t>
      </w:r>
    </w:p>
    <w:p>
      <w:pPr>
        <w:autoSpaceDE w:val="0"/>
        <w:autoSpaceDN w:val="0"/>
        <w:adjustRightInd w:val="0"/>
        <w:spacing w:line="560" w:lineRule="exact"/>
        <w:ind w:firstLine="640" w:firstLineChars="200"/>
      </w:pPr>
      <w:r>
        <w:rPr>
          <w:rFonts w:hint="eastAsia" w:ascii="仿宋_GB2312" w:hAnsi="仿宋_GB2312" w:eastAsia="仿宋_GB2312" w:cs="仿宋_GB2312"/>
          <w:b/>
          <w:bCs/>
          <w:color w:val="000000" w:themeColor="text1"/>
          <w:sz w:val="32"/>
          <w:szCs w:val="32"/>
        </w:rPr>
        <w:t>第二条</w:t>
      </w:r>
      <w:r>
        <w:rPr>
          <w:rFonts w:hint="eastAsia" w:ascii="仿宋_GB2312" w:hAnsi="仿宋_GB2312" w:eastAsia="仿宋_GB2312" w:cs="仿宋_GB2312"/>
          <w:color w:val="000000" w:themeColor="text1"/>
          <w:sz w:val="32"/>
          <w:szCs w:val="32"/>
        </w:rPr>
        <w:t xml:space="preserve">  本制度所指住宅项目物业服务风险主要包括投入使用时间、规模、物业服务费收费率、业主满意度、万平米诉求比</w:t>
      </w:r>
      <w:r>
        <w:rPr>
          <w:rFonts w:hint="eastAsia" w:ascii="仿宋_GB2312" w:eastAsia="仿宋_GB2312"/>
          <w:color w:val="000000" w:themeColor="text1"/>
          <w:sz w:val="32"/>
          <w:szCs w:val="32"/>
        </w:rPr>
        <w:t>等方面。</w:t>
      </w:r>
    </w:p>
    <w:p>
      <w:pPr>
        <w:autoSpaceDE w:val="0"/>
        <w:autoSpaceDN w:val="0"/>
        <w:adjustRightInd w:val="0"/>
        <w:spacing w:line="560" w:lineRule="exact"/>
        <w:ind w:firstLine="640" w:firstLineChars="200"/>
      </w:pPr>
      <w:r>
        <w:rPr>
          <w:rFonts w:hint="eastAsia" w:ascii="仿宋_GB2312" w:hAnsi="仿宋_GB2312" w:eastAsia="仿宋_GB2312" w:cs="仿宋_GB2312"/>
          <w:b/>
          <w:bCs/>
          <w:color w:val="000000" w:themeColor="text1"/>
          <w:sz w:val="32"/>
          <w:szCs w:val="32"/>
        </w:rPr>
        <w:t>第三条</w:t>
      </w:r>
      <w:r>
        <w:rPr>
          <w:rFonts w:hint="eastAsia" w:ascii="仿宋_GB2312" w:hAnsi="仿宋_GB2312" w:eastAsia="仿宋_GB2312" w:cs="仿宋_GB2312"/>
          <w:color w:val="000000" w:themeColor="text1"/>
          <w:sz w:val="32"/>
          <w:szCs w:val="32"/>
        </w:rPr>
        <w:t xml:space="preserve">  住宅项目物业服务风险影响因素按照影响范围、影响程度等，予以分配不同的权重系数，依据各项风险因素评估结果，综合确定风险等级。</w:t>
      </w:r>
    </w:p>
    <w:p>
      <w:pPr>
        <w:autoSpaceDE w:val="0"/>
        <w:autoSpaceDN w:val="0"/>
        <w:adjustRightInd w:val="0"/>
        <w:spacing w:line="560" w:lineRule="exact"/>
        <w:ind w:firstLine="640" w:firstLineChars="200"/>
      </w:pPr>
      <w:r>
        <w:rPr>
          <w:rFonts w:hint="eastAsia" w:ascii="仿宋_GB2312" w:hAnsi="仿宋_GB2312" w:eastAsia="仿宋_GB2312" w:cs="仿宋_GB2312"/>
          <w:b/>
          <w:bCs/>
          <w:color w:val="000000" w:themeColor="text1"/>
          <w:sz w:val="32"/>
          <w:szCs w:val="32"/>
        </w:rPr>
        <w:t>第四条</w:t>
      </w:r>
      <w:r>
        <w:rPr>
          <w:rFonts w:hint="eastAsia" w:ascii="仿宋_GB2312" w:hAnsi="仿宋_GB2312" w:eastAsia="仿宋_GB2312" w:cs="仿宋_GB2312"/>
          <w:color w:val="000000" w:themeColor="text1"/>
          <w:sz w:val="32"/>
          <w:szCs w:val="32"/>
        </w:rPr>
        <w:t xml:space="preserve">  住宅项目物业服务风险因素评价标准。</w:t>
      </w:r>
    </w:p>
    <w:p>
      <w:pPr>
        <w:autoSpaceDE w:val="0"/>
        <w:autoSpaceDN w:val="0"/>
        <w:adjustRightInd w:val="0"/>
        <w:spacing w:line="360" w:lineRule="exact"/>
        <w:rPr>
          <w:rFonts w:ascii="仿宋_GB2312" w:eastAsia="仿宋_GB2312"/>
          <w:bCs/>
          <w:color w:val="000000" w:themeColor="text1"/>
          <w:sz w:val="32"/>
          <w:szCs w:val="32"/>
        </w:rPr>
      </w:pPr>
      <w:r>
        <w:rPr>
          <w:rFonts w:hint="eastAsia" w:ascii="仿宋_GB2312" w:eastAsia="仿宋_GB2312"/>
          <w:bCs/>
          <w:color w:val="000000" w:themeColor="text1"/>
          <w:sz w:val="32"/>
          <w:szCs w:val="32"/>
        </w:rPr>
        <w:t>投入使用时间（10分*权重系数）</w:t>
      </w:r>
    </w:p>
    <w:tbl>
      <w:tblPr>
        <w:tblStyle w:val="26"/>
        <w:tblW w:w="90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0"/>
        <w:gridCol w:w="2135"/>
        <w:gridCol w:w="1980"/>
        <w:gridCol w:w="1980"/>
        <w:gridCol w:w="19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1000" w:type="dxa"/>
            <w:tcBorders>
              <w:tl2br w:val="nil"/>
              <w:tr2bl w:val="nil"/>
            </w:tcBorders>
            <w:vAlign w:val="center"/>
          </w:tcPr>
          <w:p>
            <w:pPr>
              <w:pStyle w:val="12"/>
              <w:spacing w:line="360" w:lineRule="exact"/>
              <w:jc w:val="center"/>
              <w:rPr>
                <w:rFonts w:eastAsia="宋体"/>
              </w:rPr>
            </w:pPr>
            <w:r>
              <w:rPr>
                <w:rFonts w:hint="eastAsia" w:eastAsia="宋体"/>
              </w:rPr>
              <w:t>时间</w:t>
            </w:r>
          </w:p>
        </w:tc>
        <w:tc>
          <w:tcPr>
            <w:tcW w:w="2135" w:type="dxa"/>
            <w:tcBorders>
              <w:tl2br w:val="nil"/>
              <w:tr2bl w:val="nil"/>
            </w:tcBorders>
            <w:vAlign w:val="center"/>
          </w:tcPr>
          <w:p>
            <w:pPr>
              <w:pStyle w:val="12"/>
              <w:spacing w:line="360" w:lineRule="exact"/>
              <w:jc w:val="center"/>
              <w:rPr>
                <w:rFonts w:eastAsia="宋体" w:cs="Times New Roman"/>
                <w:szCs w:val="24"/>
              </w:rPr>
            </w:pPr>
            <w:r>
              <w:rPr>
                <w:rFonts w:hint="eastAsia" w:eastAsia="宋体" w:cs="Times New Roman"/>
                <w:szCs w:val="24"/>
              </w:rPr>
              <w:t>1990年之前（含）</w:t>
            </w:r>
          </w:p>
        </w:tc>
        <w:tc>
          <w:tcPr>
            <w:tcW w:w="1980" w:type="dxa"/>
            <w:tcBorders>
              <w:tl2br w:val="nil"/>
              <w:tr2bl w:val="nil"/>
            </w:tcBorders>
            <w:vAlign w:val="center"/>
          </w:tcPr>
          <w:p>
            <w:pPr>
              <w:pStyle w:val="12"/>
              <w:spacing w:line="360" w:lineRule="exact"/>
              <w:jc w:val="center"/>
              <w:rPr>
                <w:rFonts w:eastAsia="宋体" w:cs="Times New Roman"/>
                <w:szCs w:val="24"/>
              </w:rPr>
            </w:pPr>
            <w:r>
              <w:rPr>
                <w:rFonts w:hint="eastAsia" w:eastAsia="宋体" w:cs="Times New Roman"/>
                <w:szCs w:val="24"/>
              </w:rPr>
              <w:t>1990年（不含）—2000年（含）</w:t>
            </w:r>
          </w:p>
        </w:tc>
        <w:tc>
          <w:tcPr>
            <w:tcW w:w="1980" w:type="dxa"/>
            <w:tcBorders>
              <w:tl2br w:val="nil"/>
              <w:tr2bl w:val="nil"/>
            </w:tcBorders>
            <w:vAlign w:val="center"/>
          </w:tcPr>
          <w:p>
            <w:pPr>
              <w:pStyle w:val="12"/>
              <w:spacing w:line="360" w:lineRule="exact"/>
              <w:jc w:val="center"/>
              <w:rPr>
                <w:rFonts w:eastAsia="宋体" w:cs="Times New Roman"/>
                <w:szCs w:val="24"/>
              </w:rPr>
            </w:pPr>
            <w:r>
              <w:rPr>
                <w:rFonts w:hint="eastAsia" w:eastAsia="宋体" w:cs="Times New Roman"/>
                <w:szCs w:val="24"/>
              </w:rPr>
              <w:t>2000年（不含）—2010年（不含）</w:t>
            </w:r>
          </w:p>
        </w:tc>
        <w:tc>
          <w:tcPr>
            <w:tcW w:w="1905" w:type="dxa"/>
            <w:tcBorders>
              <w:tl2br w:val="nil"/>
              <w:tr2bl w:val="nil"/>
            </w:tcBorders>
            <w:vAlign w:val="center"/>
          </w:tcPr>
          <w:p>
            <w:pPr>
              <w:pStyle w:val="12"/>
              <w:spacing w:line="360" w:lineRule="exact"/>
              <w:jc w:val="center"/>
              <w:rPr>
                <w:rFonts w:eastAsia="宋体" w:cs="Times New Roman"/>
                <w:szCs w:val="24"/>
              </w:rPr>
            </w:pPr>
            <w:r>
              <w:rPr>
                <w:rFonts w:hint="eastAsia" w:eastAsia="宋体" w:cs="Times New Roman"/>
                <w:szCs w:val="24"/>
              </w:rPr>
              <w:t>2010年之后（含）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trPr>
        <w:tc>
          <w:tcPr>
            <w:tcW w:w="1000" w:type="dxa"/>
            <w:tcBorders>
              <w:tl2br w:val="nil"/>
              <w:tr2bl w:val="nil"/>
            </w:tcBorders>
            <w:vAlign w:val="center"/>
          </w:tcPr>
          <w:p>
            <w:pPr>
              <w:pStyle w:val="12"/>
              <w:spacing w:line="360" w:lineRule="exact"/>
              <w:jc w:val="center"/>
            </w:pPr>
            <w:r>
              <w:rPr>
                <w:rFonts w:hint="eastAsia"/>
              </w:rPr>
              <w:t>权重</w:t>
            </w:r>
          </w:p>
          <w:p>
            <w:pPr>
              <w:pStyle w:val="12"/>
              <w:spacing w:line="360" w:lineRule="exact"/>
              <w:jc w:val="center"/>
            </w:pPr>
            <w:r>
              <w:rPr>
                <w:rFonts w:hint="eastAsia"/>
              </w:rPr>
              <w:t>系数</w:t>
            </w:r>
          </w:p>
        </w:tc>
        <w:tc>
          <w:tcPr>
            <w:tcW w:w="2135" w:type="dxa"/>
            <w:tcBorders>
              <w:tl2br w:val="nil"/>
              <w:tr2bl w:val="nil"/>
            </w:tcBorders>
            <w:vAlign w:val="center"/>
          </w:tcPr>
          <w:p>
            <w:pPr>
              <w:pStyle w:val="12"/>
              <w:spacing w:line="360" w:lineRule="exact"/>
              <w:jc w:val="center"/>
              <w:rPr>
                <w:rFonts w:eastAsia="宋体" w:cs="Times New Roman"/>
                <w:szCs w:val="24"/>
              </w:rPr>
            </w:pPr>
            <w:r>
              <w:rPr>
                <w:rFonts w:hint="eastAsia"/>
              </w:rPr>
              <w:t>1.5</w:t>
            </w:r>
          </w:p>
        </w:tc>
        <w:tc>
          <w:tcPr>
            <w:tcW w:w="1980" w:type="dxa"/>
            <w:tcBorders>
              <w:tl2br w:val="nil"/>
              <w:tr2bl w:val="nil"/>
            </w:tcBorders>
            <w:vAlign w:val="center"/>
          </w:tcPr>
          <w:p>
            <w:pPr>
              <w:pStyle w:val="12"/>
              <w:spacing w:line="360" w:lineRule="exact"/>
              <w:jc w:val="center"/>
              <w:rPr>
                <w:rFonts w:eastAsia="宋体" w:cs="Times New Roman"/>
                <w:szCs w:val="24"/>
              </w:rPr>
            </w:pPr>
            <w:r>
              <w:rPr>
                <w:rFonts w:hint="eastAsia"/>
              </w:rPr>
              <w:t>1.2</w:t>
            </w:r>
          </w:p>
        </w:tc>
        <w:tc>
          <w:tcPr>
            <w:tcW w:w="1980" w:type="dxa"/>
            <w:tcBorders>
              <w:tl2br w:val="nil"/>
              <w:tr2bl w:val="nil"/>
            </w:tcBorders>
            <w:vAlign w:val="center"/>
          </w:tcPr>
          <w:p>
            <w:pPr>
              <w:pStyle w:val="12"/>
              <w:spacing w:line="360" w:lineRule="exact"/>
              <w:jc w:val="center"/>
              <w:rPr>
                <w:rFonts w:eastAsia="宋体" w:cs="Times New Roman"/>
                <w:szCs w:val="24"/>
              </w:rPr>
            </w:pPr>
            <w:r>
              <w:rPr>
                <w:rFonts w:hint="eastAsia" w:cs="Times New Roman"/>
                <w:szCs w:val="24"/>
              </w:rPr>
              <w:t>1.0</w:t>
            </w:r>
          </w:p>
        </w:tc>
        <w:tc>
          <w:tcPr>
            <w:tcW w:w="1905" w:type="dxa"/>
            <w:tcBorders>
              <w:tl2br w:val="nil"/>
              <w:tr2bl w:val="nil"/>
            </w:tcBorders>
            <w:vAlign w:val="center"/>
          </w:tcPr>
          <w:p>
            <w:pPr>
              <w:pStyle w:val="12"/>
              <w:spacing w:line="360" w:lineRule="exact"/>
              <w:jc w:val="center"/>
              <w:rPr>
                <w:rFonts w:eastAsia="宋体" w:cs="Times New Roman"/>
                <w:szCs w:val="24"/>
              </w:rPr>
            </w:pPr>
            <w:r>
              <w:rPr>
                <w:rFonts w:hint="eastAsia" w:cs="Times New Roman"/>
                <w:szCs w:val="24"/>
              </w:rPr>
              <w:t>0.8</w:t>
            </w:r>
          </w:p>
        </w:tc>
      </w:tr>
    </w:tbl>
    <w:p>
      <w:pPr>
        <w:autoSpaceDE w:val="0"/>
        <w:autoSpaceDN w:val="0"/>
        <w:adjustRightInd w:val="0"/>
        <w:spacing w:line="360" w:lineRule="exact"/>
        <w:rPr>
          <w:rFonts w:ascii="仿宋_GB2312" w:eastAsia="仿宋_GB2312"/>
          <w:bCs/>
          <w:color w:val="000000" w:themeColor="text1"/>
          <w:sz w:val="32"/>
          <w:szCs w:val="32"/>
        </w:rPr>
      </w:pPr>
      <w:r>
        <w:rPr>
          <w:rFonts w:hint="eastAsia" w:ascii="仿宋_GB2312" w:eastAsia="仿宋_GB2312"/>
          <w:bCs/>
          <w:color w:val="000000" w:themeColor="text1"/>
          <w:sz w:val="32"/>
          <w:szCs w:val="32"/>
        </w:rPr>
        <w:t>规模（10分*权重系数）</w:t>
      </w:r>
    </w:p>
    <w:tbl>
      <w:tblPr>
        <w:tblStyle w:val="26"/>
        <w:tblW w:w="90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9"/>
        <w:gridCol w:w="2664"/>
        <w:gridCol w:w="2666"/>
        <w:gridCol w:w="26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trPr>
        <w:tc>
          <w:tcPr>
            <w:tcW w:w="1009" w:type="dxa"/>
            <w:tcBorders>
              <w:tl2br w:val="nil"/>
              <w:tr2bl w:val="nil"/>
            </w:tcBorders>
            <w:vAlign w:val="center"/>
          </w:tcPr>
          <w:p>
            <w:pPr>
              <w:pStyle w:val="12"/>
              <w:spacing w:line="360" w:lineRule="exact"/>
              <w:jc w:val="center"/>
              <w:rPr>
                <w:rFonts w:cs="Times New Roman"/>
                <w:szCs w:val="24"/>
              </w:rPr>
            </w:pPr>
            <w:r>
              <w:rPr>
                <w:rFonts w:hint="eastAsia" w:cs="Times New Roman"/>
                <w:szCs w:val="24"/>
              </w:rPr>
              <w:t>规模</w:t>
            </w:r>
          </w:p>
        </w:tc>
        <w:tc>
          <w:tcPr>
            <w:tcW w:w="2664" w:type="dxa"/>
            <w:tcBorders>
              <w:tl2br w:val="nil"/>
              <w:tr2bl w:val="nil"/>
            </w:tcBorders>
            <w:vAlign w:val="center"/>
          </w:tcPr>
          <w:p>
            <w:pPr>
              <w:pStyle w:val="12"/>
              <w:spacing w:line="360" w:lineRule="exact"/>
              <w:jc w:val="center"/>
              <w:rPr>
                <w:rFonts w:cs="Times New Roman"/>
                <w:szCs w:val="24"/>
              </w:rPr>
            </w:pPr>
            <w:r>
              <w:rPr>
                <w:rFonts w:hint="eastAsia" w:cs="Times New Roman"/>
                <w:szCs w:val="24"/>
              </w:rPr>
              <w:t>500户以下（含）</w:t>
            </w:r>
          </w:p>
        </w:tc>
        <w:tc>
          <w:tcPr>
            <w:tcW w:w="2666" w:type="dxa"/>
            <w:tcBorders>
              <w:tl2br w:val="nil"/>
              <w:tr2bl w:val="nil"/>
            </w:tcBorders>
            <w:vAlign w:val="center"/>
          </w:tcPr>
          <w:p>
            <w:pPr>
              <w:pStyle w:val="12"/>
              <w:spacing w:line="360" w:lineRule="exact"/>
              <w:jc w:val="center"/>
              <w:rPr>
                <w:rFonts w:cs="Times New Roman"/>
                <w:szCs w:val="24"/>
              </w:rPr>
            </w:pPr>
            <w:r>
              <w:rPr>
                <w:rFonts w:hint="eastAsia" w:cs="Times New Roman"/>
                <w:szCs w:val="24"/>
              </w:rPr>
              <w:t>500户（不含）—2000户（不含）</w:t>
            </w:r>
          </w:p>
        </w:tc>
        <w:tc>
          <w:tcPr>
            <w:tcW w:w="2665" w:type="dxa"/>
            <w:tcBorders>
              <w:tl2br w:val="nil"/>
              <w:tr2bl w:val="nil"/>
            </w:tcBorders>
            <w:vAlign w:val="center"/>
          </w:tcPr>
          <w:p>
            <w:pPr>
              <w:pStyle w:val="12"/>
              <w:spacing w:line="360" w:lineRule="exact"/>
              <w:jc w:val="center"/>
              <w:rPr>
                <w:rFonts w:cs="Times New Roman"/>
                <w:szCs w:val="24"/>
              </w:rPr>
            </w:pPr>
            <w:r>
              <w:rPr>
                <w:rFonts w:hint="eastAsia" w:cs="Times New Roman"/>
                <w:szCs w:val="24"/>
              </w:rPr>
              <w:t>2000户以上（含）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8" w:hRule="atLeast"/>
        </w:trPr>
        <w:tc>
          <w:tcPr>
            <w:tcW w:w="1009" w:type="dxa"/>
            <w:tcBorders>
              <w:tl2br w:val="nil"/>
              <w:tr2bl w:val="nil"/>
            </w:tcBorders>
            <w:vAlign w:val="center"/>
          </w:tcPr>
          <w:p>
            <w:pPr>
              <w:pStyle w:val="12"/>
              <w:spacing w:line="360" w:lineRule="exact"/>
              <w:jc w:val="center"/>
              <w:rPr>
                <w:rFonts w:cs="Times New Roman"/>
                <w:szCs w:val="24"/>
              </w:rPr>
            </w:pPr>
            <w:r>
              <w:rPr>
                <w:rFonts w:hint="eastAsia" w:cs="Times New Roman"/>
                <w:szCs w:val="24"/>
              </w:rPr>
              <w:t>权重</w:t>
            </w:r>
          </w:p>
          <w:p>
            <w:pPr>
              <w:pStyle w:val="12"/>
              <w:spacing w:line="360" w:lineRule="exact"/>
              <w:jc w:val="center"/>
              <w:rPr>
                <w:rFonts w:cs="Times New Roman"/>
                <w:szCs w:val="24"/>
              </w:rPr>
            </w:pPr>
            <w:r>
              <w:rPr>
                <w:rFonts w:hint="eastAsia" w:cs="Times New Roman"/>
                <w:szCs w:val="24"/>
              </w:rPr>
              <w:t>系数</w:t>
            </w:r>
          </w:p>
        </w:tc>
        <w:tc>
          <w:tcPr>
            <w:tcW w:w="2664" w:type="dxa"/>
            <w:tcBorders>
              <w:tl2br w:val="nil"/>
              <w:tr2bl w:val="nil"/>
            </w:tcBorders>
            <w:vAlign w:val="center"/>
          </w:tcPr>
          <w:p>
            <w:pPr>
              <w:pStyle w:val="12"/>
              <w:spacing w:line="360" w:lineRule="exact"/>
              <w:jc w:val="center"/>
              <w:rPr>
                <w:rFonts w:cs="Times New Roman"/>
                <w:szCs w:val="24"/>
              </w:rPr>
            </w:pPr>
            <w:r>
              <w:rPr>
                <w:rFonts w:hint="eastAsia" w:cs="Times New Roman"/>
                <w:szCs w:val="24"/>
              </w:rPr>
              <w:t>1.0</w:t>
            </w:r>
          </w:p>
        </w:tc>
        <w:tc>
          <w:tcPr>
            <w:tcW w:w="2666" w:type="dxa"/>
            <w:tcBorders>
              <w:tl2br w:val="nil"/>
              <w:tr2bl w:val="nil"/>
            </w:tcBorders>
            <w:vAlign w:val="center"/>
          </w:tcPr>
          <w:p>
            <w:pPr>
              <w:pStyle w:val="12"/>
              <w:spacing w:line="360" w:lineRule="exact"/>
              <w:jc w:val="center"/>
              <w:rPr>
                <w:rFonts w:cs="Times New Roman"/>
                <w:szCs w:val="24"/>
              </w:rPr>
            </w:pPr>
            <w:r>
              <w:rPr>
                <w:rFonts w:hint="eastAsia" w:cs="Times New Roman"/>
                <w:szCs w:val="24"/>
              </w:rPr>
              <w:t>1.2</w:t>
            </w:r>
          </w:p>
        </w:tc>
        <w:tc>
          <w:tcPr>
            <w:tcW w:w="2665" w:type="dxa"/>
            <w:tcBorders>
              <w:tl2br w:val="nil"/>
              <w:tr2bl w:val="nil"/>
            </w:tcBorders>
            <w:vAlign w:val="center"/>
          </w:tcPr>
          <w:p>
            <w:pPr>
              <w:pStyle w:val="12"/>
              <w:spacing w:line="360" w:lineRule="exact"/>
              <w:jc w:val="center"/>
              <w:rPr>
                <w:rFonts w:cs="Times New Roman"/>
                <w:szCs w:val="24"/>
              </w:rPr>
            </w:pPr>
            <w:r>
              <w:rPr>
                <w:rFonts w:hint="eastAsia" w:cs="Times New Roman"/>
                <w:szCs w:val="24"/>
              </w:rPr>
              <w:t>1.5</w:t>
            </w:r>
          </w:p>
        </w:tc>
      </w:tr>
    </w:tbl>
    <w:p>
      <w:pPr>
        <w:autoSpaceDE w:val="0"/>
        <w:autoSpaceDN w:val="0"/>
        <w:adjustRightInd w:val="0"/>
        <w:spacing w:line="360" w:lineRule="exact"/>
        <w:rPr>
          <w:rFonts w:ascii="仿宋_GB2312" w:eastAsia="仿宋_GB2312"/>
          <w:bCs/>
          <w:color w:val="000000" w:themeColor="text1"/>
          <w:sz w:val="32"/>
          <w:szCs w:val="32"/>
        </w:rPr>
      </w:pPr>
      <w:r>
        <w:rPr>
          <w:rFonts w:hint="eastAsia" w:ascii="仿宋_GB2312" w:eastAsia="仿宋_GB2312"/>
          <w:bCs/>
          <w:color w:val="000000" w:themeColor="text1"/>
          <w:sz w:val="32"/>
          <w:szCs w:val="32"/>
        </w:rPr>
        <w:t>物业服务费收费率（30分*权重系数）</w:t>
      </w:r>
    </w:p>
    <w:tbl>
      <w:tblPr>
        <w:tblStyle w:val="26"/>
        <w:tblW w:w="90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4"/>
        <w:gridCol w:w="2505"/>
        <w:gridCol w:w="2430"/>
        <w:gridCol w:w="2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1494" w:type="dxa"/>
            <w:tcBorders>
              <w:tl2br w:val="nil"/>
              <w:tr2bl w:val="nil"/>
            </w:tcBorders>
            <w:vAlign w:val="center"/>
          </w:tcPr>
          <w:p>
            <w:pPr>
              <w:pStyle w:val="12"/>
              <w:spacing w:line="360" w:lineRule="exact"/>
              <w:jc w:val="center"/>
              <w:rPr>
                <w:rFonts w:cs="Times New Roman"/>
                <w:szCs w:val="24"/>
              </w:rPr>
            </w:pPr>
            <w:r>
              <w:rPr>
                <w:rFonts w:hint="eastAsia" w:cs="Times New Roman"/>
                <w:szCs w:val="24"/>
              </w:rPr>
              <w:t>收费率</w:t>
            </w:r>
          </w:p>
        </w:tc>
        <w:tc>
          <w:tcPr>
            <w:tcW w:w="2505" w:type="dxa"/>
            <w:tcBorders>
              <w:tl2br w:val="nil"/>
              <w:tr2bl w:val="nil"/>
            </w:tcBorders>
            <w:vAlign w:val="center"/>
          </w:tcPr>
          <w:p>
            <w:pPr>
              <w:pStyle w:val="12"/>
              <w:spacing w:line="360" w:lineRule="exact"/>
              <w:jc w:val="center"/>
              <w:rPr>
                <w:rFonts w:cs="Times New Roman"/>
                <w:szCs w:val="24"/>
              </w:rPr>
            </w:pPr>
            <w:r>
              <w:rPr>
                <w:rFonts w:hint="eastAsia" w:cs="Times New Roman"/>
                <w:szCs w:val="24"/>
              </w:rPr>
              <w:t>60%以下（含）</w:t>
            </w:r>
          </w:p>
        </w:tc>
        <w:tc>
          <w:tcPr>
            <w:tcW w:w="2430" w:type="dxa"/>
            <w:tcBorders>
              <w:tl2br w:val="nil"/>
              <w:tr2bl w:val="nil"/>
            </w:tcBorders>
            <w:vAlign w:val="center"/>
          </w:tcPr>
          <w:p>
            <w:pPr>
              <w:pStyle w:val="12"/>
              <w:spacing w:line="360" w:lineRule="exact"/>
              <w:jc w:val="center"/>
              <w:rPr>
                <w:rFonts w:cs="Times New Roman"/>
                <w:szCs w:val="24"/>
              </w:rPr>
            </w:pPr>
            <w:r>
              <w:rPr>
                <w:rFonts w:hint="eastAsia" w:cs="Times New Roman"/>
                <w:szCs w:val="24"/>
              </w:rPr>
              <w:t>60%（不含）—90%（不含）</w:t>
            </w:r>
          </w:p>
        </w:tc>
        <w:tc>
          <w:tcPr>
            <w:tcW w:w="2595" w:type="dxa"/>
            <w:tcBorders>
              <w:tl2br w:val="nil"/>
              <w:tr2bl w:val="nil"/>
            </w:tcBorders>
            <w:vAlign w:val="center"/>
          </w:tcPr>
          <w:p>
            <w:pPr>
              <w:pStyle w:val="12"/>
              <w:spacing w:line="360" w:lineRule="exact"/>
              <w:jc w:val="center"/>
              <w:rPr>
                <w:rFonts w:cs="Times New Roman"/>
                <w:szCs w:val="24"/>
              </w:rPr>
            </w:pPr>
            <w:r>
              <w:rPr>
                <w:rFonts w:hint="eastAsia" w:cs="Times New Roman"/>
                <w:szCs w:val="24"/>
              </w:rPr>
              <w:t>90%以上（含）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1494" w:type="dxa"/>
            <w:tcBorders>
              <w:tl2br w:val="nil"/>
              <w:tr2bl w:val="nil"/>
            </w:tcBorders>
            <w:vAlign w:val="center"/>
          </w:tcPr>
          <w:p>
            <w:pPr>
              <w:pStyle w:val="12"/>
              <w:spacing w:line="360" w:lineRule="exact"/>
              <w:jc w:val="center"/>
              <w:rPr>
                <w:rFonts w:cs="Times New Roman"/>
                <w:szCs w:val="24"/>
              </w:rPr>
            </w:pPr>
            <w:r>
              <w:rPr>
                <w:rFonts w:hint="eastAsia" w:cs="Times New Roman"/>
                <w:szCs w:val="24"/>
              </w:rPr>
              <w:t>权重系数</w:t>
            </w:r>
          </w:p>
        </w:tc>
        <w:tc>
          <w:tcPr>
            <w:tcW w:w="2505" w:type="dxa"/>
            <w:tcBorders>
              <w:tl2br w:val="nil"/>
              <w:tr2bl w:val="nil"/>
            </w:tcBorders>
            <w:vAlign w:val="center"/>
          </w:tcPr>
          <w:p>
            <w:pPr>
              <w:pStyle w:val="12"/>
              <w:spacing w:line="360" w:lineRule="exact"/>
              <w:jc w:val="center"/>
              <w:rPr>
                <w:rFonts w:cs="Times New Roman"/>
                <w:szCs w:val="24"/>
              </w:rPr>
            </w:pPr>
            <w:r>
              <w:rPr>
                <w:rFonts w:hint="eastAsia" w:cs="Times New Roman"/>
                <w:szCs w:val="24"/>
              </w:rPr>
              <w:t>1.5</w:t>
            </w:r>
          </w:p>
        </w:tc>
        <w:tc>
          <w:tcPr>
            <w:tcW w:w="2430" w:type="dxa"/>
            <w:tcBorders>
              <w:tl2br w:val="nil"/>
              <w:tr2bl w:val="nil"/>
            </w:tcBorders>
            <w:vAlign w:val="center"/>
          </w:tcPr>
          <w:p>
            <w:pPr>
              <w:pStyle w:val="12"/>
              <w:spacing w:line="360" w:lineRule="exact"/>
              <w:jc w:val="center"/>
              <w:rPr>
                <w:rFonts w:cs="Times New Roman"/>
                <w:szCs w:val="24"/>
              </w:rPr>
            </w:pPr>
            <w:r>
              <w:rPr>
                <w:rFonts w:hint="eastAsia" w:cs="Times New Roman"/>
                <w:szCs w:val="24"/>
              </w:rPr>
              <w:t>1.2</w:t>
            </w:r>
          </w:p>
        </w:tc>
        <w:tc>
          <w:tcPr>
            <w:tcW w:w="2595" w:type="dxa"/>
            <w:tcBorders>
              <w:tl2br w:val="nil"/>
              <w:tr2bl w:val="nil"/>
            </w:tcBorders>
            <w:vAlign w:val="center"/>
          </w:tcPr>
          <w:p>
            <w:pPr>
              <w:pStyle w:val="12"/>
              <w:spacing w:line="360" w:lineRule="exact"/>
              <w:jc w:val="center"/>
              <w:rPr>
                <w:rFonts w:cs="Times New Roman"/>
                <w:szCs w:val="24"/>
              </w:rPr>
            </w:pPr>
            <w:r>
              <w:rPr>
                <w:rFonts w:hint="eastAsia" w:cs="Times New Roman"/>
                <w:szCs w:val="24"/>
              </w:rPr>
              <w:t>0.8</w:t>
            </w:r>
          </w:p>
        </w:tc>
      </w:tr>
    </w:tbl>
    <w:p>
      <w:pPr>
        <w:autoSpaceDE w:val="0"/>
        <w:autoSpaceDN w:val="0"/>
        <w:adjustRightInd w:val="0"/>
        <w:spacing w:line="360" w:lineRule="exact"/>
        <w:rPr>
          <w:rFonts w:ascii="仿宋_GB2312" w:eastAsia="仿宋_GB2312"/>
          <w:bCs/>
          <w:color w:val="000000" w:themeColor="text1"/>
          <w:sz w:val="32"/>
          <w:szCs w:val="32"/>
        </w:rPr>
      </w:pPr>
      <w:r>
        <w:rPr>
          <w:rFonts w:hint="eastAsia" w:ascii="仿宋_GB2312" w:eastAsia="仿宋_GB2312"/>
          <w:bCs/>
          <w:color w:val="000000" w:themeColor="text1"/>
          <w:sz w:val="32"/>
          <w:szCs w:val="32"/>
        </w:rPr>
        <w:t>业主满意度（30分</w:t>
      </w:r>
      <w:r>
        <w:rPr>
          <w:rFonts w:ascii="仿宋_GB2312" w:eastAsia="仿宋_GB2312"/>
          <w:bCs/>
          <w:color w:val="000000" w:themeColor="text1"/>
          <w:sz w:val="32"/>
          <w:szCs w:val="32"/>
        </w:rPr>
        <w:t>*</w:t>
      </w:r>
      <w:r>
        <w:rPr>
          <w:rFonts w:hint="eastAsia" w:ascii="仿宋_GB2312" w:eastAsia="仿宋_GB2312"/>
          <w:bCs/>
          <w:color w:val="000000" w:themeColor="text1"/>
          <w:sz w:val="32"/>
          <w:szCs w:val="32"/>
        </w:rPr>
        <w:t>权重系数）</w:t>
      </w:r>
    </w:p>
    <w:tbl>
      <w:tblPr>
        <w:tblStyle w:val="26"/>
        <w:tblW w:w="90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4"/>
        <w:gridCol w:w="2445"/>
        <w:gridCol w:w="2475"/>
        <w:gridCol w:w="25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1524" w:type="dxa"/>
            <w:tcBorders>
              <w:tl2br w:val="nil"/>
              <w:tr2bl w:val="nil"/>
            </w:tcBorders>
            <w:vAlign w:val="center"/>
          </w:tcPr>
          <w:p>
            <w:pPr>
              <w:pStyle w:val="12"/>
              <w:spacing w:line="360" w:lineRule="exact"/>
              <w:jc w:val="center"/>
              <w:rPr>
                <w:rFonts w:cs="Times New Roman"/>
                <w:szCs w:val="24"/>
              </w:rPr>
            </w:pPr>
            <w:r>
              <w:rPr>
                <w:rFonts w:hint="eastAsia" w:cs="Times New Roman"/>
                <w:szCs w:val="24"/>
              </w:rPr>
              <w:t>满意率</w:t>
            </w:r>
          </w:p>
        </w:tc>
        <w:tc>
          <w:tcPr>
            <w:tcW w:w="2445" w:type="dxa"/>
            <w:tcBorders>
              <w:tl2br w:val="nil"/>
              <w:tr2bl w:val="nil"/>
            </w:tcBorders>
            <w:vAlign w:val="center"/>
          </w:tcPr>
          <w:p>
            <w:pPr>
              <w:pStyle w:val="12"/>
              <w:spacing w:line="360" w:lineRule="exact"/>
              <w:jc w:val="center"/>
              <w:rPr>
                <w:rFonts w:cs="Times New Roman"/>
                <w:szCs w:val="24"/>
              </w:rPr>
            </w:pPr>
            <w:r>
              <w:rPr>
                <w:rFonts w:hint="eastAsia" w:cs="Times New Roman"/>
                <w:szCs w:val="24"/>
              </w:rPr>
              <w:t>60%以下（含）</w:t>
            </w:r>
          </w:p>
        </w:tc>
        <w:tc>
          <w:tcPr>
            <w:tcW w:w="2475" w:type="dxa"/>
            <w:tcBorders>
              <w:tl2br w:val="nil"/>
              <w:tr2bl w:val="nil"/>
            </w:tcBorders>
            <w:vAlign w:val="center"/>
          </w:tcPr>
          <w:p>
            <w:pPr>
              <w:pStyle w:val="12"/>
              <w:spacing w:line="360" w:lineRule="exact"/>
              <w:jc w:val="center"/>
              <w:rPr>
                <w:rFonts w:cs="Times New Roman"/>
                <w:szCs w:val="24"/>
              </w:rPr>
            </w:pPr>
            <w:r>
              <w:rPr>
                <w:rFonts w:hint="eastAsia" w:cs="Times New Roman"/>
                <w:szCs w:val="24"/>
              </w:rPr>
              <w:t>60%（不含）—90%（不含）</w:t>
            </w:r>
          </w:p>
        </w:tc>
        <w:tc>
          <w:tcPr>
            <w:tcW w:w="2580" w:type="dxa"/>
            <w:tcBorders>
              <w:tl2br w:val="nil"/>
              <w:tr2bl w:val="nil"/>
            </w:tcBorders>
            <w:vAlign w:val="center"/>
          </w:tcPr>
          <w:p>
            <w:pPr>
              <w:pStyle w:val="12"/>
              <w:spacing w:line="360" w:lineRule="exact"/>
              <w:jc w:val="center"/>
              <w:rPr>
                <w:rFonts w:cs="Times New Roman"/>
                <w:szCs w:val="24"/>
              </w:rPr>
            </w:pPr>
            <w:r>
              <w:rPr>
                <w:rFonts w:hint="eastAsia" w:cs="Times New Roman"/>
                <w:szCs w:val="24"/>
              </w:rPr>
              <w:t>90%以上（含）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1524" w:type="dxa"/>
            <w:tcBorders>
              <w:tl2br w:val="nil"/>
              <w:tr2bl w:val="nil"/>
            </w:tcBorders>
            <w:vAlign w:val="center"/>
          </w:tcPr>
          <w:p>
            <w:pPr>
              <w:pStyle w:val="12"/>
              <w:spacing w:line="360" w:lineRule="exact"/>
              <w:jc w:val="center"/>
              <w:rPr>
                <w:rFonts w:cs="Times New Roman"/>
                <w:szCs w:val="24"/>
              </w:rPr>
            </w:pPr>
            <w:r>
              <w:rPr>
                <w:rFonts w:hint="eastAsia" w:cs="Times New Roman"/>
                <w:szCs w:val="24"/>
              </w:rPr>
              <w:t>权重系数</w:t>
            </w:r>
          </w:p>
        </w:tc>
        <w:tc>
          <w:tcPr>
            <w:tcW w:w="2445" w:type="dxa"/>
            <w:tcBorders>
              <w:tl2br w:val="nil"/>
              <w:tr2bl w:val="nil"/>
            </w:tcBorders>
            <w:vAlign w:val="center"/>
          </w:tcPr>
          <w:p>
            <w:pPr>
              <w:pStyle w:val="12"/>
              <w:spacing w:line="360" w:lineRule="exact"/>
              <w:jc w:val="center"/>
              <w:rPr>
                <w:rFonts w:cs="Times New Roman"/>
                <w:szCs w:val="24"/>
              </w:rPr>
            </w:pPr>
            <w:r>
              <w:rPr>
                <w:rFonts w:hint="eastAsia" w:cs="Times New Roman"/>
                <w:szCs w:val="24"/>
              </w:rPr>
              <w:t>1.2</w:t>
            </w:r>
          </w:p>
        </w:tc>
        <w:tc>
          <w:tcPr>
            <w:tcW w:w="2475" w:type="dxa"/>
            <w:tcBorders>
              <w:tl2br w:val="nil"/>
              <w:tr2bl w:val="nil"/>
            </w:tcBorders>
            <w:vAlign w:val="center"/>
          </w:tcPr>
          <w:p>
            <w:pPr>
              <w:pStyle w:val="12"/>
              <w:spacing w:line="360" w:lineRule="exact"/>
              <w:jc w:val="center"/>
              <w:rPr>
                <w:rFonts w:cs="Times New Roman"/>
                <w:szCs w:val="24"/>
              </w:rPr>
            </w:pPr>
            <w:r>
              <w:rPr>
                <w:rFonts w:hint="eastAsia" w:cs="Times New Roman"/>
                <w:szCs w:val="24"/>
              </w:rPr>
              <w:t>1.0</w:t>
            </w:r>
          </w:p>
        </w:tc>
        <w:tc>
          <w:tcPr>
            <w:tcW w:w="2580" w:type="dxa"/>
            <w:tcBorders>
              <w:tl2br w:val="nil"/>
              <w:tr2bl w:val="nil"/>
            </w:tcBorders>
            <w:vAlign w:val="center"/>
          </w:tcPr>
          <w:p>
            <w:pPr>
              <w:pStyle w:val="12"/>
              <w:spacing w:line="360" w:lineRule="exact"/>
              <w:jc w:val="center"/>
              <w:rPr>
                <w:rFonts w:cs="Times New Roman"/>
                <w:szCs w:val="24"/>
              </w:rPr>
            </w:pPr>
            <w:r>
              <w:rPr>
                <w:rFonts w:hint="eastAsia" w:cs="Times New Roman"/>
                <w:szCs w:val="24"/>
              </w:rPr>
              <w:t>0.8</w:t>
            </w:r>
          </w:p>
        </w:tc>
      </w:tr>
    </w:tbl>
    <w:p>
      <w:pPr>
        <w:autoSpaceDE w:val="0"/>
        <w:autoSpaceDN w:val="0"/>
        <w:adjustRightInd w:val="0"/>
        <w:spacing w:line="360" w:lineRule="exact"/>
        <w:rPr>
          <w:rFonts w:ascii="仿宋_GB2312" w:eastAsia="仿宋_GB2312"/>
          <w:bCs/>
          <w:color w:val="000000" w:themeColor="text1"/>
          <w:sz w:val="32"/>
          <w:szCs w:val="32"/>
        </w:rPr>
      </w:pPr>
      <w:r>
        <w:rPr>
          <w:rFonts w:hint="eastAsia" w:ascii="仿宋_GB2312" w:eastAsia="仿宋_GB2312"/>
          <w:bCs/>
          <w:color w:val="000000" w:themeColor="text1"/>
          <w:sz w:val="32"/>
          <w:szCs w:val="32"/>
        </w:rPr>
        <w:t>万平米诉求比（20分</w:t>
      </w:r>
      <w:r>
        <w:rPr>
          <w:rFonts w:ascii="仿宋_GB2312" w:eastAsia="仿宋_GB2312"/>
          <w:bCs/>
          <w:color w:val="000000" w:themeColor="text1"/>
          <w:sz w:val="32"/>
          <w:szCs w:val="32"/>
        </w:rPr>
        <w:t>*</w:t>
      </w:r>
      <w:r>
        <w:rPr>
          <w:rFonts w:hint="eastAsia" w:ascii="仿宋_GB2312" w:eastAsia="仿宋_GB2312"/>
          <w:bCs/>
          <w:color w:val="000000" w:themeColor="text1"/>
          <w:sz w:val="32"/>
          <w:szCs w:val="32"/>
        </w:rPr>
        <w:t>权重系数）</w:t>
      </w:r>
    </w:p>
    <w:tbl>
      <w:tblPr>
        <w:tblStyle w:val="26"/>
        <w:tblW w:w="90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4"/>
        <w:gridCol w:w="2445"/>
        <w:gridCol w:w="2475"/>
        <w:gridCol w:w="25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1524" w:type="dxa"/>
            <w:tcBorders>
              <w:tl2br w:val="nil"/>
              <w:tr2bl w:val="nil"/>
            </w:tcBorders>
            <w:vAlign w:val="center"/>
          </w:tcPr>
          <w:p>
            <w:pPr>
              <w:pStyle w:val="12"/>
              <w:spacing w:line="360" w:lineRule="exact"/>
              <w:jc w:val="center"/>
              <w:rPr>
                <w:rFonts w:cs="Times New Roman"/>
                <w:szCs w:val="24"/>
              </w:rPr>
            </w:pPr>
            <w:r>
              <w:rPr>
                <w:rFonts w:hint="eastAsia" w:cs="Times New Roman"/>
                <w:szCs w:val="24"/>
              </w:rPr>
              <w:t>万平米诉求比</w:t>
            </w:r>
          </w:p>
        </w:tc>
        <w:tc>
          <w:tcPr>
            <w:tcW w:w="2445" w:type="dxa"/>
            <w:tcBorders>
              <w:tl2br w:val="nil"/>
              <w:tr2bl w:val="nil"/>
            </w:tcBorders>
            <w:vAlign w:val="center"/>
          </w:tcPr>
          <w:p>
            <w:pPr>
              <w:pStyle w:val="12"/>
              <w:spacing w:line="360" w:lineRule="exact"/>
              <w:jc w:val="center"/>
              <w:rPr>
                <w:rFonts w:cs="Times New Roman"/>
                <w:szCs w:val="24"/>
              </w:rPr>
            </w:pPr>
            <w:r>
              <w:rPr>
                <w:rFonts w:hint="eastAsia" w:cs="Times New Roman"/>
                <w:szCs w:val="24"/>
              </w:rPr>
              <w:t>60件以上（含）</w:t>
            </w:r>
          </w:p>
        </w:tc>
        <w:tc>
          <w:tcPr>
            <w:tcW w:w="2475" w:type="dxa"/>
            <w:tcBorders>
              <w:tl2br w:val="nil"/>
              <w:tr2bl w:val="nil"/>
            </w:tcBorders>
            <w:vAlign w:val="center"/>
          </w:tcPr>
          <w:p>
            <w:pPr>
              <w:pStyle w:val="12"/>
              <w:spacing w:line="360" w:lineRule="exact"/>
              <w:jc w:val="center"/>
              <w:rPr>
                <w:rFonts w:cs="Times New Roman"/>
                <w:szCs w:val="24"/>
              </w:rPr>
            </w:pPr>
            <w:r>
              <w:rPr>
                <w:rFonts w:hint="eastAsia" w:cs="Times New Roman"/>
                <w:szCs w:val="24"/>
              </w:rPr>
              <w:t>24（不含）—60（不含）</w:t>
            </w:r>
          </w:p>
        </w:tc>
        <w:tc>
          <w:tcPr>
            <w:tcW w:w="2580" w:type="dxa"/>
            <w:tcBorders>
              <w:tl2br w:val="nil"/>
              <w:tr2bl w:val="nil"/>
            </w:tcBorders>
            <w:vAlign w:val="center"/>
          </w:tcPr>
          <w:p>
            <w:pPr>
              <w:pStyle w:val="12"/>
              <w:spacing w:line="360" w:lineRule="exact"/>
              <w:jc w:val="center"/>
              <w:rPr>
                <w:rFonts w:cs="Times New Roman"/>
                <w:szCs w:val="24"/>
              </w:rPr>
            </w:pPr>
            <w:r>
              <w:rPr>
                <w:rFonts w:hint="eastAsia" w:cs="Times New Roman"/>
                <w:szCs w:val="24"/>
              </w:rPr>
              <w:t>24件以下（含）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1524" w:type="dxa"/>
            <w:tcBorders>
              <w:tl2br w:val="nil"/>
              <w:tr2bl w:val="nil"/>
            </w:tcBorders>
            <w:vAlign w:val="center"/>
          </w:tcPr>
          <w:p>
            <w:pPr>
              <w:pStyle w:val="12"/>
              <w:spacing w:line="360" w:lineRule="exact"/>
              <w:jc w:val="center"/>
              <w:rPr>
                <w:rFonts w:cs="Times New Roman"/>
                <w:szCs w:val="24"/>
              </w:rPr>
            </w:pPr>
            <w:r>
              <w:rPr>
                <w:rFonts w:hint="eastAsia" w:cs="Times New Roman"/>
                <w:szCs w:val="24"/>
              </w:rPr>
              <w:t>权重系数</w:t>
            </w:r>
          </w:p>
        </w:tc>
        <w:tc>
          <w:tcPr>
            <w:tcW w:w="2445" w:type="dxa"/>
            <w:tcBorders>
              <w:tl2br w:val="nil"/>
              <w:tr2bl w:val="nil"/>
            </w:tcBorders>
            <w:vAlign w:val="center"/>
          </w:tcPr>
          <w:p>
            <w:pPr>
              <w:pStyle w:val="12"/>
              <w:spacing w:line="360" w:lineRule="exact"/>
              <w:jc w:val="center"/>
              <w:rPr>
                <w:rFonts w:cs="Times New Roman"/>
                <w:szCs w:val="24"/>
              </w:rPr>
            </w:pPr>
            <w:r>
              <w:rPr>
                <w:rFonts w:hint="eastAsia" w:cs="Times New Roman"/>
                <w:szCs w:val="24"/>
              </w:rPr>
              <w:t>1.2</w:t>
            </w:r>
          </w:p>
        </w:tc>
        <w:tc>
          <w:tcPr>
            <w:tcW w:w="2475" w:type="dxa"/>
            <w:tcBorders>
              <w:tl2br w:val="nil"/>
              <w:tr2bl w:val="nil"/>
            </w:tcBorders>
            <w:vAlign w:val="center"/>
          </w:tcPr>
          <w:p>
            <w:pPr>
              <w:pStyle w:val="12"/>
              <w:spacing w:line="360" w:lineRule="exact"/>
              <w:jc w:val="center"/>
              <w:rPr>
                <w:rFonts w:cs="Times New Roman"/>
                <w:szCs w:val="24"/>
              </w:rPr>
            </w:pPr>
            <w:r>
              <w:rPr>
                <w:rFonts w:hint="eastAsia" w:cs="Times New Roman"/>
                <w:szCs w:val="24"/>
              </w:rPr>
              <w:t>1.0</w:t>
            </w:r>
          </w:p>
        </w:tc>
        <w:tc>
          <w:tcPr>
            <w:tcW w:w="2580" w:type="dxa"/>
            <w:tcBorders>
              <w:tl2br w:val="nil"/>
              <w:tr2bl w:val="nil"/>
            </w:tcBorders>
            <w:vAlign w:val="center"/>
          </w:tcPr>
          <w:p>
            <w:pPr>
              <w:pStyle w:val="12"/>
              <w:spacing w:line="360" w:lineRule="exact"/>
              <w:jc w:val="center"/>
              <w:rPr>
                <w:rFonts w:cs="Times New Roman"/>
                <w:szCs w:val="24"/>
              </w:rPr>
            </w:pPr>
            <w:r>
              <w:rPr>
                <w:rFonts w:hint="eastAsia" w:cs="Times New Roman"/>
                <w:szCs w:val="24"/>
              </w:rPr>
              <w:t>0.8</w:t>
            </w:r>
          </w:p>
        </w:tc>
      </w:tr>
    </w:tbl>
    <w:p>
      <w:pPr>
        <w:autoSpaceDE w:val="0"/>
        <w:autoSpaceDN w:val="0"/>
        <w:adjustRightInd w:val="0"/>
        <w:spacing w:line="560" w:lineRule="exact"/>
        <w:ind w:firstLine="640" w:firstLineChars="200"/>
        <w:rPr>
          <w:rFonts w:ascii="仿宋_GB2312" w:eastAsia="仿宋_GB2312"/>
          <w:bCs/>
          <w:color w:val="000000" w:themeColor="text1"/>
          <w:sz w:val="32"/>
          <w:szCs w:val="32"/>
        </w:rPr>
      </w:pPr>
      <w:r>
        <w:rPr>
          <w:rFonts w:hint="eastAsia" w:ascii="仿宋_GB2312" w:hAnsi="仿宋_GB2312" w:eastAsia="仿宋_GB2312" w:cs="仿宋_GB2312"/>
          <w:b/>
          <w:bCs/>
          <w:color w:val="000000" w:themeColor="text1"/>
          <w:sz w:val="32"/>
          <w:szCs w:val="32"/>
        </w:rPr>
        <w:t>第五条</w:t>
      </w:r>
      <w:r>
        <w:rPr>
          <w:rFonts w:hint="eastAsia" w:ascii="仿宋_GB2312" w:hAnsi="仿宋_GB2312" w:eastAsia="仿宋_GB2312" w:cs="仿宋_GB2312"/>
          <w:color w:val="000000" w:themeColor="text1"/>
          <w:sz w:val="32"/>
          <w:szCs w:val="32"/>
        </w:rPr>
        <w:t xml:space="preserve">  依据</w:t>
      </w:r>
      <w:r>
        <w:rPr>
          <w:rFonts w:hint="eastAsia" w:ascii="仿宋_GB2312" w:eastAsia="仿宋_GB2312"/>
          <w:bCs/>
          <w:color w:val="000000" w:themeColor="text1"/>
          <w:sz w:val="32"/>
          <w:szCs w:val="32"/>
        </w:rPr>
        <w:t>五</w:t>
      </w:r>
      <w:r>
        <w:rPr>
          <w:rFonts w:hint="eastAsia" w:ascii="仿宋_GB2312" w:hAnsi="仿宋_GB2312" w:eastAsia="仿宋_GB2312" w:cs="仿宋_GB2312"/>
          <w:color w:val="000000" w:themeColor="text1"/>
          <w:sz w:val="32"/>
          <w:szCs w:val="32"/>
        </w:rPr>
        <w:t>项风险因素单独评分，综合相加形成住宅项目物业服务风险等级，由低至高分为</w:t>
      </w:r>
      <w:r>
        <w:rPr>
          <w:rFonts w:hint="eastAsia" w:ascii="仿宋_GB2312" w:eastAsia="仿宋_GB2312"/>
          <w:bCs/>
          <w:color w:val="000000" w:themeColor="text1"/>
          <w:sz w:val="32"/>
          <w:szCs w:val="32"/>
        </w:rPr>
        <w:t>A（低风险）、B（一般风险）、C（较大风险）、D（重大风险）。</w:t>
      </w:r>
    </w:p>
    <w:tbl>
      <w:tblPr>
        <w:tblStyle w:val="26"/>
        <w:tblW w:w="8880" w:type="dxa"/>
        <w:tblInd w:w="12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1635"/>
        <w:gridCol w:w="1237"/>
        <w:gridCol w:w="697"/>
        <w:gridCol w:w="582"/>
        <w:gridCol w:w="1366"/>
        <w:gridCol w:w="1428"/>
        <w:gridCol w:w="11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8880" w:type="dxa"/>
            <w:gridSpan w:val="8"/>
            <w:tcBorders>
              <w:tl2br w:val="nil"/>
              <w:tr2bl w:val="nil"/>
            </w:tcBorders>
            <w:vAlign w:val="center"/>
          </w:tcPr>
          <w:p>
            <w:pPr>
              <w:autoSpaceDE w:val="0"/>
              <w:autoSpaceDN w:val="0"/>
              <w:adjustRightInd w:val="0"/>
              <w:spacing w:line="360" w:lineRule="exact"/>
              <w:jc w:val="center"/>
              <w:rPr>
                <w:rFonts w:ascii="仿宋_GB2312" w:eastAsia="仿宋_GB2312"/>
                <w:b/>
                <w:color w:val="000000" w:themeColor="text1"/>
                <w:sz w:val="32"/>
                <w:szCs w:val="32"/>
              </w:rPr>
            </w:pPr>
            <w:bookmarkStart w:id="192" w:name="_GoBack"/>
            <w:r>
              <w:rPr>
                <w:rFonts w:hint="eastAsia" w:ascii="仿宋_GB2312" w:eastAsia="仿宋_GB2312"/>
                <w:b/>
                <w:color w:val="000000" w:themeColor="text1"/>
                <w:sz w:val="32"/>
                <w:szCs w:val="32"/>
              </w:rPr>
              <w:t>风险等级评估表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7" w:hRule="atLeast"/>
        </w:trPr>
        <w:tc>
          <w:tcPr>
            <w:tcW w:w="776" w:type="dxa"/>
            <w:vMerge w:val="restart"/>
            <w:tcBorders>
              <w:tl2br w:val="nil"/>
              <w:tr2bl w:val="nil"/>
            </w:tcBorders>
            <w:vAlign w:val="center"/>
          </w:tcPr>
          <w:p>
            <w:pPr>
              <w:adjustRightInd w:val="0"/>
              <w:snapToGrid w:val="0"/>
              <w:spacing w:line="360" w:lineRule="exact"/>
              <w:jc w:val="center"/>
              <w:rPr>
                <w:rFonts w:ascii="宋体" w:hAnsi="宋体" w:cs="宋体"/>
                <w:color w:val="000000" w:themeColor="text1"/>
                <w:kern w:val="0"/>
                <w:szCs w:val="21"/>
              </w:rPr>
            </w:pPr>
            <w:r>
              <w:rPr>
                <w:rFonts w:hint="eastAsia"/>
                <w:color w:val="000000" w:themeColor="text1"/>
              </w:rPr>
              <w:t>风险因素分值</w:t>
            </w:r>
          </w:p>
        </w:tc>
        <w:tc>
          <w:tcPr>
            <w:tcW w:w="1635" w:type="dxa"/>
            <w:tcBorders>
              <w:tl2br w:val="nil"/>
              <w:tr2bl w:val="nil"/>
            </w:tcBorders>
            <w:vAlign w:val="center"/>
          </w:tcPr>
          <w:p>
            <w:pPr>
              <w:adjustRightInd w:val="0"/>
              <w:snapToGrid w:val="0"/>
              <w:spacing w:line="360" w:lineRule="exact"/>
              <w:jc w:val="center"/>
              <w:rPr>
                <w:rFonts w:eastAsia="宋体"/>
                <w:color w:val="000000" w:themeColor="text1"/>
              </w:rPr>
            </w:pPr>
            <w:r>
              <w:rPr>
                <w:rFonts w:hint="eastAsia"/>
                <w:color w:val="000000" w:themeColor="text1"/>
              </w:rPr>
              <w:t>投入使用时间</w:t>
            </w:r>
          </w:p>
          <w:p>
            <w:pPr>
              <w:adjustRightInd w:val="0"/>
              <w:snapToGrid w:val="0"/>
              <w:spacing w:line="360" w:lineRule="exact"/>
              <w:jc w:val="center"/>
              <w:rPr>
                <w:color w:val="000000" w:themeColor="text1"/>
              </w:rPr>
            </w:pPr>
            <w:r>
              <w:rPr>
                <w:rFonts w:hint="eastAsia"/>
                <w:color w:val="000000" w:themeColor="text1"/>
              </w:rPr>
              <w:t>（10）</w:t>
            </w:r>
          </w:p>
        </w:tc>
        <w:tc>
          <w:tcPr>
            <w:tcW w:w="1237" w:type="dxa"/>
            <w:tcBorders>
              <w:tl2br w:val="nil"/>
              <w:tr2bl w:val="nil"/>
            </w:tcBorders>
            <w:vAlign w:val="center"/>
          </w:tcPr>
          <w:p>
            <w:pPr>
              <w:adjustRightInd w:val="0"/>
              <w:snapToGrid w:val="0"/>
              <w:spacing w:line="360" w:lineRule="exact"/>
              <w:jc w:val="center"/>
              <w:rPr>
                <w:rFonts w:eastAsia="宋体"/>
                <w:color w:val="000000" w:themeColor="text1"/>
              </w:rPr>
            </w:pPr>
            <w:r>
              <w:rPr>
                <w:rFonts w:hint="eastAsia"/>
                <w:color w:val="000000" w:themeColor="text1"/>
              </w:rPr>
              <w:t>规模</w:t>
            </w:r>
          </w:p>
          <w:p>
            <w:pPr>
              <w:adjustRightInd w:val="0"/>
              <w:snapToGrid w:val="0"/>
              <w:spacing w:line="360" w:lineRule="exact"/>
              <w:jc w:val="center"/>
              <w:rPr>
                <w:color w:val="000000" w:themeColor="text1"/>
              </w:rPr>
            </w:pPr>
            <w:r>
              <w:rPr>
                <w:rFonts w:hint="eastAsia"/>
                <w:color w:val="000000" w:themeColor="text1"/>
              </w:rPr>
              <w:t>（10）</w:t>
            </w:r>
          </w:p>
        </w:tc>
        <w:tc>
          <w:tcPr>
            <w:tcW w:w="1279" w:type="dxa"/>
            <w:gridSpan w:val="2"/>
            <w:tcBorders>
              <w:tl2br w:val="nil"/>
              <w:tr2bl w:val="nil"/>
            </w:tcBorders>
            <w:vAlign w:val="center"/>
          </w:tcPr>
          <w:p>
            <w:pPr>
              <w:adjustRightInd w:val="0"/>
              <w:snapToGrid w:val="0"/>
              <w:spacing w:line="360" w:lineRule="exact"/>
              <w:jc w:val="center"/>
              <w:rPr>
                <w:rFonts w:eastAsia="宋体"/>
                <w:color w:val="000000" w:themeColor="text1"/>
              </w:rPr>
            </w:pPr>
            <w:r>
              <w:rPr>
                <w:rFonts w:hint="eastAsia"/>
                <w:color w:val="000000" w:themeColor="text1"/>
              </w:rPr>
              <w:t>收费率</w:t>
            </w:r>
          </w:p>
          <w:p>
            <w:pPr>
              <w:adjustRightInd w:val="0"/>
              <w:snapToGrid w:val="0"/>
              <w:spacing w:line="360" w:lineRule="exact"/>
              <w:jc w:val="center"/>
              <w:rPr>
                <w:color w:val="000000" w:themeColor="text1"/>
              </w:rPr>
            </w:pPr>
            <w:r>
              <w:rPr>
                <w:rFonts w:hint="eastAsia"/>
                <w:color w:val="000000" w:themeColor="text1"/>
              </w:rPr>
              <w:t>（30）</w:t>
            </w:r>
          </w:p>
        </w:tc>
        <w:tc>
          <w:tcPr>
            <w:tcW w:w="1366" w:type="dxa"/>
            <w:tcBorders>
              <w:tl2br w:val="nil"/>
              <w:tr2bl w:val="nil"/>
            </w:tcBorders>
            <w:vAlign w:val="center"/>
          </w:tcPr>
          <w:p>
            <w:pPr>
              <w:adjustRightInd w:val="0"/>
              <w:snapToGrid w:val="0"/>
              <w:spacing w:line="360" w:lineRule="exact"/>
              <w:jc w:val="center"/>
              <w:rPr>
                <w:rFonts w:eastAsia="宋体"/>
                <w:color w:val="000000" w:themeColor="text1"/>
              </w:rPr>
            </w:pPr>
            <w:r>
              <w:rPr>
                <w:rFonts w:hint="eastAsia"/>
                <w:color w:val="000000" w:themeColor="text1"/>
              </w:rPr>
              <w:t>满意率</w:t>
            </w:r>
          </w:p>
          <w:p>
            <w:pPr>
              <w:adjustRightInd w:val="0"/>
              <w:snapToGrid w:val="0"/>
              <w:spacing w:line="360" w:lineRule="exact"/>
              <w:jc w:val="center"/>
              <w:rPr>
                <w:color w:val="000000" w:themeColor="text1"/>
              </w:rPr>
            </w:pPr>
            <w:r>
              <w:rPr>
                <w:rFonts w:hint="eastAsia"/>
                <w:color w:val="000000" w:themeColor="text1"/>
              </w:rPr>
              <w:t>（30）</w:t>
            </w:r>
          </w:p>
        </w:tc>
        <w:tc>
          <w:tcPr>
            <w:tcW w:w="1428" w:type="dxa"/>
            <w:tcBorders>
              <w:tl2br w:val="nil"/>
              <w:tr2bl w:val="nil"/>
            </w:tcBorders>
            <w:vAlign w:val="center"/>
          </w:tcPr>
          <w:p>
            <w:pPr>
              <w:adjustRightInd w:val="0"/>
              <w:snapToGrid w:val="0"/>
              <w:spacing w:line="360" w:lineRule="exact"/>
              <w:jc w:val="center"/>
              <w:rPr>
                <w:color w:val="000000" w:themeColor="text1"/>
              </w:rPr>
            </w:pPr>
            <w:r>
              <w:rPr>
                <w:rFonts w:hint="eastAsia"/>
                <w:color w:val="000000" w:themeColor="text1"/>
              </w:rPr>
              <w:t>万平米诉求比</w:t>
            </w:r>
          </w:p>
          <w:p>
            <w:pPr>
              <w:pStyle w:val="2"/>
              <w:numPr>
                <w:ilvl w:val="0"/>
                <w:numId w:val="0"/>
              </w:numPr>
              <w:spacing w:before="0" w:after="0" w:line="360" w:lineRule="exact"/>
              <w:jc w:val="center"/>
              <w:rPr>
                <w:color w:val="000000" w:themeColor="text1"/>
              </w:rPr>
            </w:pPr>
            <w:r>
              <w:rPr>
                <w:rFonts w:hint="eastAsia"/>
                <w:color w:val="000000" w:themeColor="text1"/>
              </w:rPr>
              <w:t>（20）</w:t>
            </w:r>
          </w:p>
        </w:tc>
        <w:tc>
          <w:tcPr>
            <w:tcW w:w="1159" w:type="dxa"/>
            <w:tcBorders>
              <w:tl2br w:val="nil"/>
              <w:tr2bl w:val="nil"/>
            </w:tcBorders>
            <w:vAlign w:val="center"/>
          </w:tcPr>
          <w:p>
            <w:pPr>
              <w:pStyle w:val="2"/>
              <w:numPr>
                <w:ilvl w:val="0"/>
                <w:numId w:val="0"/>
              </w:numPr>
              <w:spacing w:before="0" w:after="0" w:line="360" w:lineRule="exact"/>
              <w:jc w:val="center"/>
              <w:rPr>
                <w:color w:val="000000" w:themeColor="text1"/>
              </w:rPr>
            </w:pPr>
            <w:r>
              <w:rPr>
                <w:rFonts w:hint="eastAsia"/>
                <w:color w:val="000000" w:themeColor="text1"/>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trPr>
        <w:tc>
          <w:tcPr>
            <w:tcW w:w="776" w:type="dxa"/>
            <w:vMerge w:val="continue"/>
            <w:tcBorders>
              <w:tl2br w:val="nil"/>
              <w:tr2bl w:val="nil"/>
            </w:tcBorders>
            <w:vAlign w:val="center"/>
          </w:tcPr>
          <w:p>
            <w:pPr>
              <w:adjustRightInd w:val="0"/>
              <w:snapToGrid w:val="0"/>
              <w:spacing w:line="360" w:lineRule="exact"/>
              <w:jc w:val="center"/>
              <w:rPr>
                <w:rFonts w:ascii="宋体" w:hAnsi="宋体" w:cs="宋体"/>
                <w:color w:val="000000" w:themeColor="text1"/>
                <w:kern w:val="0"/>
                <w:szCs w:val="21"/>
              </w:rPr>
            </w:pPr>
          </w:p>
        </w:tc>
        <w:tc>
          <w:tcPr>
            <w:tcW w:w="1635" w:type="dxa"/>
            <w:tcBorders>
              <w:tl2br w:val="nil"/>
              <w:tr2bl w:val="nil"/>
            </w:tcBorders>
            <w:vAlign w:val="center"/>
          </w:tcPr>
          <w:p>
            <w:pPr>
              <w:autoSpaceDE w:val="0"/>
              <w:autoSpaceDN w:val="0"/>
              <w:adjustRightInd w:val="0"/>
              <w:spacing w:line="360" w:lineRule="exact"/>
              <w:jc w:val="center"/>
              <w:rPr>
                <w:rFonts w:ascii="仿宋_GB2312" w:eastAsia="仿宋_GB2312" w:cs="仿宋_GB2312"/>
                <w:color w:val="000000" w:themeColor="text1"/>
                <w:spacing w:val="8"/>
                <w:kern w:val="0"/>
                <w:sz w:val="32"/>
                <w:szCs w:val="32"/>
                <w:lang w:val="zh-CN"/>
              </w:rPr>
            </w:pPr>
          </w:p>
        </w:tc>
        <w:tc>
          <w:tcPr>
            <w:tcW w:w="1237" w:type="dxa"/>
            <w:tcBorders>
              <w:tl2br w:val="nil"/>
              <w:tr2bl w:val="nil"/>
            </w:tcBorders>
            <w:vAlign w:val="center"/>
          </w:tcPr>
          <w:p>
            <w:pPr>
              <w:autoSpaceDE w:val="0"/>
              <w:autoSpaceDN w:val="0"/>
              <w:adjustRightInd w:val="0"/>
              <w:spacing w:line="360" w:lineRule="exact"/>
              <w:jc w:val="center"/>
              <w:rPr>
                <w:rFonts w:ascii="仿宋_GB2312" w:eastAsia="仿宋_GB2312" w:cs="仿宋_GB2312"/>
                <w:color w:val="000000" w:themeColor="text1"/>
                <w:spacing w:val="8"/>
                <w:kern w:val="0"/>
                <w:sz w:val="32"/>
                <w:szCs w:val="32"/>
                <w:lang w:val="zh-CN"/>
              </w:rPr>
            </w:pPr>
          </w:p>
        </w:tc>
        <w:tc>
          <w:tcPr>
            <w:tcW w:w="1279" w:type="dxa"/>
            <w:gridSpan w:val="2"/>
            <w:tcBorders>
              <w:tl2br w:val="nil"/>
              <w:tr2bl w:val="nil"/>
            </w:tcBorders>
            <w:vAlign w:val="center"/>
          </w:tcPr>
          <w:p>
            <w:pPr>
              <w:autoSpaceDE w:val="0"/>
              <w:autoSpaceDN w:val="0"/>
              <w:adjustRightInd w:val="0"/>
              <w:spacing w:line="360" w:lineRule="exact"/>
              <w:jc w:val="center"/>
              <w:rPr>
                <w:rFonts w:ascii="仿宋_GB2312" w:eastAsia="仿宋_GB2312" w:cs="仿宋_GB2312"/>
                <w:color w:val="000000" w:themeColor="text1"/>
                <w:spacing w:val="8"/>
                <w:kern w:val="0"/>
                <w:sz w:val="32"/>
                <w:szCs w:val="32"/>
                <w:lang w:val="zh-CN"/>
              </w:rPr>
            </w:pPr>
          </w:p>
        </w:tc>
        <w:tc>
          <w:tcPr>
            <w:tcW w:w="1366" w:type="dxa"/>
            <w:tcBorders>
              <w:tl2br w:val="nil"/>
              <w:tr2bl w:val="nil"/>
            </w:tcBorders>
            <w:vAlign w:val="center"/>
          </w:tcPr>
          <w:p>
            <w:pPr>
              <w:autoSpaceDE w:val="0"/>
              <w:autoSpaceDN w:val="0"/>
              <w:adjustRightInd w:val="0"/>
              <w:spacing w:line="360" w:lineRule="exact"/>
              <w:jc w:val="center"/>
              <w:rPr>
                <w:rFonts w:ascii="仿宋_GB2312" w:eastAsia="仿宋_GB2312" w:cs="仿宋_GB2312"/>
                <w:color w:val="000000" w:themeColor="text1"/>
                <w:spacing w:val="8"/>
                <w:kern w:val="0"/>
                <w:sz w:val="32"/>
                <w:szCs w:val="32"/>
                <w:lang w:val="zh-CN"/>
              </w:rPr>
            </w:pPr>
          </w:p>
        </w:tc>
        <w:tc>
          <w:tcPr>
            <w:tcW w:w="1428" w:type="dxa"/>
            <w:tcBorders>
              <w:tl2br w:val="nil"/>
              <w:tr2bl w:val="nil"/>
            </w:tcBorders>
            <w:vAlign w:val="center"/>
          </w:tcPr>
          <w:p>
            <w:pPr>
              <w:autoSpaceDE w:val="0"/>
              <w:autoSpaceDN w:val="0"/>
              <w:adjustRightInd w:val="0"/>
              <w:spacing w:line="360" w:lineRule="exact"/>
              <w:jc w:val="center"/>
              <w:rPr>
                <w:rFonts w:ascii="仿宋_GB2312" w:eastAsia="仿宋_GB2312" w:cs="仿宋_GB2312"/>
                <w:color w:val="000000" w:themeColor="text1"/>
                <w:spacing w:val="8"/>
                <w:kern w:val="0"/>
                <w:sz w:val="32"/>
                <w:szCs w:val="32"/>
                <w:lang w:val="zh-CN"/>
              </w:rPr>
            </w:pPr>
          </w:p>
        </w:tc>
        <w:tc>
          <w:tcPr>
            <w:tcW w:w="1159" w:type="dxa"/>
            <w:tcBorders>
              <w:tl2br w:val="nil"/>
              <w:tr2bl w:val="nil"/>
            </w:tcBorders>
            <w:vAlign w:val="center"/>
          </w:tcPr>
          <w:p>
            <w:pPr>
              <w:autoSpaceDE w:val="0"/>
              <w:autoSpaceDN w:val="0"/>
              <w:adjustRightInd w:val="0"/>
              <w:spacing w:line="360" w:lineRule="exact"/>
              <w:jc w:val="center"/>
              <w:rPr>
                <w:rFonts w:ascii="仿宋_GB2312" w:eastAsia="仿宋_GB2312" w:cs="仿宋_GB2312"/>
                <w:color w:val="000000" w:themeColor="text1"/>
                <w:spacing w:val="8"/>
                <w:kern w:val="0"/>
                <w:sz w:val="32"/>
                <w:szCs w:val="32"/>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776" w:type="dxa"/>
            <w:vMerge w:val="restart"/>
            <w:tcBorders>
              <w:tl2br w:val="nil"/>
              <w:tr2bl w:val="nil"/>
            </w:tcBorders>
            <w:vAlign w:val="center"/>
          </w:tcPr>
          <w:p>
            <w:pPr>
              <w:adjustRightInd w:val="0"/>
              <w:snapToGrid w:val="0"/>
              <w:spacing w:line="360" w:lineRule="exact"/>
              <w:jc w:val="center"/>
              <w:rPr>
                <w:rFonts w:ascii="宋体" w:hAnsi="宋体" w:cs="宋体"/>
                <w:color w:val="000000" w:themeColor="text1"/>
                <w:kern w:val="0"/>
                <w:szCs w:val="21"/>
              </w:rPr>
            </w:pPr>
            <w:r>
              <w:rPr>
                <w:rFonts w:hint="eastAsia" w:ascii="宋体" w:hAnsi="宋体" w:cs="宋体"/>
                <w:color w:val="000000" w:themeColor="text1"/>
                <w:kern w:val="0"/>
                <w:szCs w:val="21"/>
              </w:rPr>
              <w:t>风险类别</w:t>
            </w:r>
          </w:p>
        </w:tc>
        <w:tc>
          <w:tcPr>
            <w:tcW w:w="1635" w:type="dxa"/>
            <w:tcBorders>
              <w:tl2br w:val="nil"/>
              <w:tr2bl w:val="nil"/>
            </w:tcBorders>
            <w:vAlign w:val="center"/>
          </w:tcPr>
          <w:p>
            <w:pPr>
              <w:adjustRightInd w:val="0"/>
              <w:snapToGrid w:val="0"/>
              <w:spacing w:line="360" w:lineRule="exact"/>
              <w:jc w:val="center"/>
              <w:rPr>
                <w:rFonts w:ascii="仿宋_GB2312" w:eastAsia="仿宋_GB2312" w:cs="仿宋_GB2312"/>
                <w:color w:val="000000" w:themeColor="text1"/>
                <w:spacing w:val="8"/>
                <w:kern w:val="0"/>
                <w:sz w:val="32"/>
                <w:szCs w:val="32"/>
                <w:lang w:val="zh-CN"/>
              </w:rPr>
            </w:pPr>
            <w:r>
              <w:rPr>
                <w:rFonts w:hint="eastAsia" w:ascii="宋体" w:hAnsi="宋体" w:cs="宋体"/>
                <w:color w:val="000000" w:themeColor="text1"/>
                <w:kern w:val="0"/>
                <w:szCs w:val="21"/>
              </w:rPr>
              <w:t>A</w:t>
            </w:r>
          </w:p>
        </w:tc>
        <w:tc>
          <w:tcPr>
            <w:tcW w:w="1934" w:type="dxa"/>
            <w:gridSpan w:val="2"/>
            <w:tcBorders>
              <w:tl2br w:val="nil"/>
              <w:tr2bl w:val="nil"/>
            </w:tcBorders>
            <w:vAlign w:val="center"/>
          </w:tcPr>
          <w:p>
            <w:pPr>
              <w:adjustRightInd w:val="0"/>
              <w:snapToGrid w:val="0"/>
              <w:spacing w:line="360" w:lineRule="exact"/>
              <w:jc w:val="center"/>
              <w:rPr>
                <w:rFonts w:ascii="仿宋_GB2312" w:eastAsia="仿宋_GB2312" w:cs="仿宋_GB2312"/>
                <w:color w:val="000000" w:themeColor="text1"/>
                <w:spacing w:val="8"/>
                <w:kern w:val="0"/>
                <w:sz w:val="32"/>
                <w:szCs w:val="32"/>
                <w:lang w:val="zh-CN"/>
              </w:rPr>
            </w:pPr>
            <w:r>
              <w:rPr>
                <w:rFonts w:hint="eastAsia" w:ascii="宋体" w:hAnsi="宋体" w:cs="宋体"/>
                <w:color w:val="000000" w:themeColor="text1"/>
                <w:kern w:val="0"/>
                <w:szCs w:val="21"/>
              </w:rPr>
              <w:t>B</w:t>
            </w:r>
          </w:p>
        </w:tc>
        <w:tc>
          <w:tcPr>
            <w:tcW w:w="1948" w:type="dxa"/>
            <w:gridSpan w:val="2"/>
            <w:tcBorders>
              <w:tl2br w:val="nil"/>
              <w:tr2bl w:val="nil"/>
            </w:tcBorders>
            <w:vAlign w:val="center"/>
          </w:tcPr>
          <w:p>
            <w:pPr>
              <w:adjustRightInd w:val="0"/>
              <w:snapToGrid w:val="0"/>
              <w:spacing w:line="360" w:lineRule="exact"/>
              <w:jc w:val="center"/>
              <w:rPr>
                <w:rFonts w:ascii="仿宋_GB2312" w:eastAsia="仿宋_GB2312" w:cs="仿宋_GB2312"/>
                <w:color w:val="000000" w:themeColor="text1"/>
                <w:spacing w:val="8"/>
                <w:kern w:val="0"/>
                <w:sz w:val="32"/>
                <w:szCs w:val="32"/>
                <w:lang w:val="zh-CN"/>
              </w:rPr>
            </w:pPr>
            <w:r>
              <w:rPr>
                <w:rFonts w:hint="eastAsia" w:ascii="宋体" w:hAnsi="宋体" w:cs="宋体"/>
                <w:color w:val="000000" w:themeColor="text1"/>
                <w:kern w:val="0"/>
                <w:szCs w:val="21"/>
              </w:rPr>
              <w:t>C</w:t>
            </w:r>
          </w:p>
        </w:tc>
        <w:tc>
          <w:tcPr>
            <w:tcW w:w="1428" w:type="dxa"/>
            <w:tcBorders>
              <w:tl2br w:val="nil"/>
              <w:tr2bl w:val="nil"/>
            </w:tcBorders>
            <w:vAlign w:val="center"/>
          </w:tcPr>
          <w:p>
            <w:pPr>
              <w:adjustRightInd w:val="0"/>
              <w:snapToGrid w:val="0"/>
              <w:spacing w:line="360" w:lineRule="exact"/>
              <w:jc w:val="center"/>
              <w:rPr>
                <w:rFonts w:ascii="仿宋_GB2312" w:eastAsia="仿宋_GB2312" w:cs="仿宋_GB2312"/>
                <w:color w:val="000000" w:themeColor="text1"/>
                <w:spacing w:val="8"/>
                <w:kern w:val="0"/>
                <w:sz w:val="32"/>
                <w:szCs w:val="32"/>
                <w:lang w:val="zh-CN"/>
              </w:rPr>
            </w:pPr>
            <w:r>
              <w:rPr>
                <w:rFonts w:hint="eastAsia" w:ascii="宋体" w:hAnsi="宋体" w:cs="宋体"/>
                <w:color w:val="000000" w:themeColor="text1"/>
                <w:kern w:val="0"/>
                <w:szCs w:val="21"/>
              </w:rPr>
              <w:t>D</w:t>
            </w:r>
          </w:p>
        </w:tc>
        <w:tc>
          <w:tcPr>
            <w:tcW w:w="1159" w:type="dxa"/>
            <w:tcBorders>
              <w:tl2br w:val="nil"/>
              <w:tr2bl w:val="nil"/>
            </w:tcBorders>
            <w:vAlign w:val="center"/>
          </w:tcPr>
          <w:p>
            <w:pPr>
              <w:adjustRightInd w:val="0"/>
              <w:snapToGrid w:val="0"/>
              <w:spacing w:line="360" w:lineRule="exact"/>
              <w:jc w:val="center"/>
              <w:rPr>
                <w:rFonts w:ascii="宋体" w:hAnsi="宋体" w:cs="宋体"/>
                <w:color w:val="000000" w:themeColor="text1"/>
                <w:kern w:val="0"/>
                <w:szCs w:val="21"/>
              </w:rPr>
            </w:pPr>
            <w:r>
              <w:rPr>
                <w:rFonts w:hint="eastAsia" w:ascii="宋体" w:hAnsi="宋体" w:cs="宋体"/>
                <w:color w:val="000000" w:themeColor="text1"/>
                <w:kern w:val="0"/>
                <w:szCs w:val="21"/>
              </w:rPr>
              <w:t>评估结果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trPr>
        <w:tc>
          <w:tcPr>
            <w:tcW w:w="776" w:type="dxa"/>
            <w:vMerge w:val="continue"/>
            <w:tcBorders>
              <w:tl2br w:val="nil"/>
              <w:tr2bl w:val="nil"/>
            </w:tcBorders>
            <w:vAlign w:val="center"/>
          </w:tcPr>
          <w:p>
            <w:pPr>
              <w:adjustRightInd w:val="0"/>
              <w:snapToGrid w:val="0"/>
              <w:spacing w:line="360" w:lineRule="exact"/>
              <w:jc w:val="center"/>
              <w:rPr>
                <w:rFonts w:ascii="宋体" w:hAnsi="宋体" w:cs="宋体"/>
                <w:color w:val="000000" w:themeColor="text1"/>
                <w:kern w:val="0"/>
                <w:szCs w:val="21"/>
              </w:rPr>
            </w:pPr>
          </w:p>
        </w:tc>
        <w:tc>
          <w:tcPr>
            <w:tcW w:w="1635" w:type="dxa"/>
            <w:tcBorders>
              <w:tl2br w:val="nil"/>
              <w:tr2bl w:val="nil"/>
            </w:tcBorders>
            <w:vAlign w:val="center"/>
          </w:tcPr>
          <w:p>
            <w:pPr>
              <w:autoSpaceDE w:val="0"/>
              <w:autoSpaceDN w:val="0"/>
              <w:adjustRightInd w:val="0"/>
              <w:spacing w:line="360" w:lineRule="exact"/>
              <w:jc w:val="center"/>
              <w:rPr>
                <w:rFonts w:ascii="仿宋_GB2312" w:eastAsia="仿宋_GB2312" w:cs="仿宋_GB2312"/>
                <w:color w:val="000000" w:themeColor="text1"/>
                <w:spacing w:val="8"/>
                <w:kern w:val="0"/>
                <w:sz w:val="32"/>
                <w:szCs w:val="32"/>
                <w:lang w:val="zh-CN"/>
              </w:rPr>
            </w:pPr>
            <w:r>
              <w:rPr>
                <w:rFonts w:hint="eastAsia" w:ascii="宋体" w:hAnsi="宋体" w:cs="宋体"/>
                <w:color w:val="000000" w:themeColor="text1"/>
                <w:kern w:val="0"/>
                <w:szCs w:val="21"/>
              </w:rPr>
              <w:t>95以下（不含）</w:t>
            </w:r>
          </w:p>
        </w:tc>
        <w:tc>
          <w:tcPr>
            <w:tcW w:w="1934" w:type="dxa"/>
            <w:gridSpan w:val="2"/>
            <w:tcBorders>
              <w:tl2br w:val="nil"/>
              <w:tr2bl w:val="nil"/>
            </w:tcBorders>
            <w:vAlign w:val="center"/>
          </w:tcPr>
          <w:p>
            <w:pPr>
              <w:autoSpaceDE w:val="0"/>
              <w:autoSpaceDN w:val="0"/>
              <w:adjustRightInd w:val="0"/>
              <w:spacing w:line="360" w:lineRule="exact"/>
              <w:jc w:val="center"/>
              <w:rPr>
                <w:rFonts w:ascii="仿宋_GB2312" w:eastAsia="仿宋_GB2312" w:cs="仿宋_GB2312"/>
                <w:color w:val="000000" w:themeColor="text1"/>
                <w:spacing w:val="8"/>
                <w:kern w:val="0"/>
                <w:sz w:val="32"/>
                <w:szCs w:val="32"/>
                <w:lang w:val="zh-CN"/>
              </w:rPr>
            </w:pPr>
            <w:r>
              <w:rPr>
                <w:rFonts w:hint="eastAsia" w:ascii="宋体" w:hAnsi="宋体" w:cs="宋体"/>
                <w:color w:val="000000" w:themeColor="text1"/>
                <w:kern w:val="0"/>
                <w:szCs w:val="21"/>
              </w:rPr>
              <w:t>95（含）—105（不含）</w:t>
            </w:r>
          </w:p>
        </w:tc>
        <w:tc>
          <w:tcPr>
            <w:tcW w:w="1948" w:type="dxa"/>
            <w:gridSpan w:val="2"/>
            <w:tcBorders>
              <w:tl2br w:val="nil"/>
              <w:tr2bl w:val="nil"/>
            </w:tcBorders>
            <w:vAlign w:val="center"/>
          </w:tcPr>
          <w:p>
            <w:pPr>
              <w:autoSpaceDE w:val="0"/>
              <w:autoSpaceDN w:val="0"/>
              <w:adjustRightInd w:val="0"/>
              <w:spacing w:line="360" w:lineRule="exact"/>
              <w:jc w:val="center"/>
              <w:rPr>
                <w:rFonts w:ascii="仿宋_GB2312" w:eastAsia="仿宋_GB2312" w:cs="仿宋_GB2312"/>
                <w:color w:val="000000" w:themeColor="text1"/>
                <w:spacing w:val="8"/>
                <w:kern w:val="0"/>
                <w:sz w:val="32"/>
                <w:szCs w:val="32"/>
                <w:lang w:val="zh-CN"/>
              </w:rPr>
            </w:pPr>
            <w:r>
              <w:rPr>
                <w:rFonts w:hint="eastAsia" w:ascii="宋体" w:hAnsi="宋体" w:cs="宋体"/>
                <w:color w:val="000000" w:themeColor="text1"/>
                <w:kern w:val="0"/>
                <w:szCs w:val="21"/>
              </w:rPr>
              <w:t>105（含）—115（不含）</w:t>
            </w:r>
          </w:p>
        </w:tc>
        <w:tc>
          <w:tcPr>
            <w:tcW w:w="1428" w:type="dxa"/>
            <w:tcBorders>
              <w:tl2br w:val="nil"/>
              <w:tr2bl w:val="nil"/>
            </w:tcBorders>
            <w:vAlign w:val="center"/>
          </w:tcPr>
          <w:p>
            <w:pPr>
              <w:autoSpaceDE w:val="0"/>
              <w:autoSpaceDN w:val="0"/>
              <w:adjustRightInd w:val="0"/>
              <w:spacing w:line="360" w:lineRule="exact"/>
              <w:jc w:val="center"/>
              <w:rPr>
                <w:rFonts w:ascii="仿宋_GB2312" w:eastAsia="仿宋_GB2312" w:cs="仿宋_GB2312"/>
                <w:color w:val="000000" w:themeColor="text1"/>
                <w:spacing w:val="8"/>
                <w:kern w:val="0"/>
                <w:sz w:val="32"/>
                <w:szCs w:val="32"/>
                <w:lang w:val="zh-CN"/>
              </w:rPr>
            </w:pPr>
            <w:r>
              <w:rPr>
                <w:rFonts w:hint="eastAsia" w:ascii="宋体" w:hAnsi="宋体" w:cs="宋体"/>
                <w:color w:val="000000" w:themeColor="text1"/>
                <w:kern w:val="0"/>
                <w:szCs w:val="21"/>
              </w:rPr>
              <w:t>115以上（含）</w:t>
            </w:r>
          </w:p>
        </w:tc>
        <w:tc>
          <w:tcPr>
            <w:tcW w:w="1159" w:type="dxa"/>
            <w:tcBorders>
              <w:tl2br w:val="nil"/>
              <w:tr2bl w:val="nil"/>
            </w:tcBorders>
            <w:vAlign w:val="center"/>
          </w:tcPr>
          <w:p>
            <w:pPr>
              <w:autoSpaceDE w:val="0"/>
              <w:autoSpaceDN w:val="0"/>
              <w:adjustRightInd w:val="0"/>
              <w:spacing w:line="360" w:lineRule="exact"/>
              <w:jc w:val="center"/>
              <w:rPr>
                <w:rFonts w:ascii="宋体" w:hAnsi="宋体" w:cs="宋体"/>
                <w:color w:val="000000" w:themeColor="text1"/>
                <w:kern w:val="0"/>
                <w:szCs w:val="21"/>
              </w:rPr>
            </w:pPr>
          </w:p>
        </w:tc>
      </w:tr>
      <w:bookmarkEnd w:id="192"/>
    </w:tbl>
    <w:p>
      <w:pPr>
        <w:autoSpaceDE w:val="0"/>
        <w:autoSpaceDN w:val="0"/>
        <w:adjustRightInd w:val="0"/>
        <w:spacing w:line="560" w:lineRule="exact"/>
        <w:ind w:firstLine="640" w:firstLineChars="200"/>
        <w:rPr>
          <w:rFonts w:ascii="黑体" w:hAnsi="黑体" w:eastAsia="黑体" w:cs="黑体"/>
          <w:bCs/>
          <w:color w:val="000000"/>
          <w:kern w:val="0"/>
          <w:sz w:val="32"/>
          <w:szCs w:val="32"/>
        </w:rPr>
      </w:pPr>
      <w:r>
        <w:rPr>
          <w:rFonts w:hint="eastAsia" w:ascii="仿宋_GB2312" w:hAnsi="仿宋_GB2312" w:eastAsia="仿宋_GB2312" w:cs="仿宋_GB2312"/>
          <w:b/>
          <w:bCs/>
          <w:color w:val="000000" w:themeColor="text1"/>
          <w:sz w:val="32"/>
          <w:szCs w:val="32"/>
        </w:rPr>
        <w:t>第六条</w:t>
      </w:r>
      <w:r>
        <w:rPr>
          <w:rFonts w:hint="eastAsia" w:ascii="仿宋_GB2312" w:hAnsi="仿宋_GB2312" w:eastAsia="仿宋_GB2312" w:cs="仿宋_GB2312"/>
          <w:color w:val="000000" w:themeColor="text1"/>
          <w:sz w:val="32"/>
          <w:szCs w:val="32"/>
        </w:rPr>
        <w:t xml:space="preserve">  </w:t>
      </w:r>
      <w:r>
        <w:rPr>
          <w:rFonts w:hint="eastAsia" w:ascii="仿宋_GB2312" w:eastAsia="仿宋_GB2312"/>
          <w:bCs/>
          <w:color w:val="000000" w:themeColor="text1"/>
          <w:sz w:val="32"/>
          <w:szCs w:val="32"/>
        </w:rPr>
        <w:t>住宅项目投入使用时间、规模数据以住宅物业项目备案数据为依据；业主满意度数据以每年</w:t>
      </w:r>
      <w:r>
        <w:rPr>
          <w:rFonts w:ascii="仿宋_GB2312" w:eastAsia="仿宋_GB2312"/>
          <w:bCs/>
          <w:color w:val="000000" w:themeColor="text1"/>
          <w:sz w:val="32"/>
          <w:szCs w:val="32"/>
        </w:rPr>
        <w:t>12</w:t>
      </w:r>
      <w:r>
        <w:rPr>
          <w:rFonts w:hint="eastAsia" w:ascii="仿宋_GB2312" w:eastAsia="仿宋_GB2312"/>
          <w:bCs/>
          <w:color w:val="000000" w:themeColor="text1"/>
          <w:sz w:val="32"/>
          <w:szCs w:val="32"/>
        </w:rPr>
        <w:t>月组织业主满意度问卷调查方式获得；万平米诉求比的诉求数量为一年内12345市民热线诉求数据</w:t>
      </w:r>
      <w:r>
        <w:rPr>
          <w:rFonts w:hint="eastAsia" w:ascii="仿宋_GB2312" w:hAnsi="仿宋_GB2312" w:eastAsia="仿宋_GB2312" w:cs="仿宋_GB2312"/>
          <w:color w:val="000000" w:themeColor="text1"/>
          <w:sz w:val="32"/>
          <w:szCs w:val="32"/>
        </w:rPr>
        <w:t>。</w:t>
      </w:r>
    </w:p>
    <w:p>
      <w:pPr>
        <w:autoSpaceDE w:val="0"/>
        <w:autoSpaceDN w:val="0"/>
        <w:adjustRightInd w:val="0"/>
        <w:spacing w:line="560" w:lineRule="exact"/>
        <w:ind w:firstLine="640" w:firstLineChars="200"/>
        <w:rPr>
          <w:rFonts w:ascii="仿宋_GB2312" w:eastAsia="仿宋_GB2312"/>
          <w:bCs/>
          <w:color w:val="000000" w:themeColor="text1"/>
          <w:sz w:val="32"/>
          <w:szCs w:val="32"/>
        </w:rPr>
      </w:pPr>
      <w:r>
        <w:rPr>
          <w:rFonts w:hint="eastAsia" w:ascii="仿宋_GB2312" w:hAnsi="仿宋_GB2312" w:eastAsia="仿宋_GB2312" w:cs="仿宋_GB2312"/>
          <w:b/>
          <w:bCs/>
          <w:color w:val="000000" w:themeColor="text1"/>
          <w:sz w:val="32"/>
          <w:szCs w:val="32"/>
        </w:rPr>
        <w:t>第七条</w:t>
      </w:r>
      <w:r>
        <w:rPr>
          <w:rFonts w:hint="eastAsia" w:ascii="黑体" w:hAnsi="黑体" w:eastAsia="黑体" w:cs="黑体"/>
          <w:bCs/>
          <w:color w:val="000000"/>
          <w:kern w:val="0"/>
          <w:sz w:val="32"/>
          <w:szCs w:val="32"/>
        </w:rPr>
        <w:t xml:space="preserve">  </w:t>
      </w:r>
      <w:r>
        <w:rPr>
          <w:rFonts w:hint="eastAsia" w:ascii="仿宋_GB2312" w:eastAsia="仿宋_GB2312"/>
          <w:bCs/>
          <w:color w:val="000000" w:themeColor="text1"/>
          <w:sz w:val="32"/>
          <w:szCs w:val="32"/>
        </w:rPr>
        <w:t>市住房和城乡建设主管部门负责建立全市统一的住宅项目物业服务风险等级评估制度，指导区住房和城乡建设或者房屋主管部门开展风险评估工作。区住房和城乡建设或者房屋主管部门负责指导街道办事处、乡镇人民政府，对本辖区住宅项目物业服务进行风险等级评估，建立风险等级评估档案台帐。街道办事处、乡镇人民政府负责本辖区住宅项目物业服务日常监管检查，及时归集风险信息，具体组织风险等级评估工作。住宅项目物业服务风险等级评估实行动态管理，以一年为一个周期，更新风险等级评估档案台帐。</w:t>
      </w:r>
    </w:p>
    <w:p>
      <w:pPr>
        <w:autoSpaceDE w:val="0"/>
        <w:autoSpaceDN w:val="0"/>
        <w:adjustRightInd w:val="0"/>
        <w:spacing w:line="560" w:lineRule="exact"/>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 xml:space="preserve">  </w:t>
      </w: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rPr>
          <w:rFonts w:ascii="黑体" w:hAnsi="黑体" w:eastAsia="黑体" w:cs="黑体"/>
          <w:bCs/>
          <w:color w:val="000000"/>
          <w:kern w:val="0"/>
          <w:sz w:val="32"/>
          <w:szCs w:val="32"/>
        </w:rPr>
      </w:pPr>
    </w:p>
    <w:p>
      <w:pPr>
        <w:pStyle w:val="2"/>
        <w:numPr>
          <w:ilvl w:val="0"/>
          <w:numId w:val="0"/>
        </w:numPr>
      </w:pP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附件2</w:t>
      </w:r>
    </w:p>
    <w:p>
      <w:pPr>
        <w:pStyle w:val="12"/>
        <w:spacing w:line="560" w:lineRule="exact"/>
        <w:ind w:firstLine="640" w:firstLineChars="200"/>
        <w:rPr>
          <w:rFonts w:ascii="黑体" w:hAnsi="黑体" w:eastAsia="黑体" w:cs="黑体"/>
          <w:bCs/>
          <w:color w:val="000000"/>
          <w:kern w:val="0"/>
          <w:sz w:val="32"/>
          <w:szCs w:val="32"/>
        </w:rPr>
      </w:pPr>
    </w:p>
    <w:p>
      <w:pPr>
        <w:pStyle w:val="12"/>
        <w:spacing w:line="560" w:lineRule="exact"/>
        <w:jc w:val="center"/>
        <w:rPr>
          <w:rFonts w:ascii="方正小标宋简体" w:hAnsi="方正小标宋简体" w:eastAsia="方正小标宋简体" w:cs="方正小标宋简体"/>
          <w:bCs/>
          <w:color w:val="000000"/>
          <w:kern w:val="0"/>
          <w:sz w:val="44"/>
          <w:szCs w:val="44"/>
        </w:rPr>
      </w:pPr>
      <w:r>
        <w:rPr>
          <w:rFonts w:hint="eastAsia" w:ascii="方正小标宋简体" w:hAnsi="方正小标宋简体" w:eastAsia="方正小标宋简体" w:cs="方正小标宋简体"/>
          <w:bCs/>
          <w:color w:val="000000"/>
          <w:kern w:val="0"/>
          <w:sz w:val="44"/>
          <w:szCs w:val="44"/>
        </w:rPr>
        <w:t>住宅项目物业服务综合监管信用评估制度</w:t>
      </w:r>
    </w:p>
    <w:p>
      <w:pPr>
        <w:autoSpaceDE w:val="0"/>
        <w:autoSpaceDN w:val="0"/>
        <w:adjustRightInd w:val="0"/>
        <w:spacing w:line="560" w:lineRule="exact"/>
        <w:ind w:firstLine="640" w:firstLineChars="200"/>
        <w:rPr>
          <w:rFonts w:ascii="黑体" w:hAnsi="黑体" w:eastAsia="黑体" w:cs="黑体"/>
          <w:bCs/>
          <w:color w:val="000000" w:themeColor="text1"/>
          <w:kern w:val="0"/>
          <w:sz w:val="32"/>
          <w:szCs w:val="32"/>
        </w:rPr>
      </w:pPr>
    </w:p>
    <w:p>
      <w:pPr>
        <w:autoSpaceDE w:val="0"/>
        <w:autoSpaceDN w:val="0"/>
        <w:adjustRightInd w:val="0"/>
        <w:spacing w:line="56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b/>
          <w:bCs/>
          <w:color w:val="000000" w:themeColor="text1"/>
          <w:sz w:val="32"/>
          <w:szCs w:val="32"/>
        </w:rPr>
        <w:t>第一条</w:t>
      </w:r>
      <w:r>
        <w:rPr>
          <w:rFonts w:hint="eastAsia" w:ascii="仿宋_GB2312" w:hAnsi="仿宋_GB2312" w:eastAsia="仿宋_GB2312" w:cs="仿宋_GB2312"/>
          <w:color w:val="000000" w:themeColor="text1"/>
          <w:sz w:val="32"/>
          <w:szCs w:val="32"/>
        </w:rPr>
        <w:t xml:space="preserve">  </w:t>
      </w:r>
      <w:r>
        <w:rPr>
          <w:rFonts w:hint="eastAsia" w:ascii="仿宋_GB2312" w:eastAsia="仿宋_GB2312"/>
          <w:color w:val="000000" w:themeColor="text1"/>
          <w:sz w:val="32"/>
          <w:szCs w:val="32"/>
        </w:rPr>
        <w:t>为进一步加大全市住宅项目物业服务监管力度，准确评估住宅项目物业服务监管成效，</w:t>
      </w:r>
      <w:r>
        <w:rPr>
          <w:rFonts w:hint="eastAsia" w:ascii="仿宋_GB2312" w:hAnsi="仿宋_GB2312" w:eastAsia="仿宋_GB2312" w:cs="仿宋_GB2312"/>
          <w:color w:val="000000" w:themeColor="text1"/>
          <w:sz w:val="32"/>
          <w:szCs w:val="32"/>
        </w:rPr>
        <w:t>综合判定住宅项目物业服务监管信用等级，特制定本制度。</w:t>
      </w:r>
    </w:p>
    <w:p>
      <w:pPr>
        <w:pStyle w:val="12"/>
        <w:spacing w:line="560" w:lineRule="exact"/>
        <w:ind w:firstLine="640" w:firstLineChars="200"/>
        <w:rPr>
          <w:rFonts w:ascii="仿宋_GB2312" w:eastAsia="仿宋_GB2312"/>
          <w:sz w:val="32"/>
          <w:szCs w:val="32"/>
        </w:rPr>
      </w:pPr>
      <w:r>
        <w:rPr>
          <w:rFonts w:hint="eastAsia" w:ascii="仿宋_GB2312" w:hAnsi="仿宋_GB2312" w:eastAsia="仿宋_GB2312" w:cs="仿宋_GB2312"/>
          <w:b/>
          <w:bCs/>
          <w:color w:val="000000" w:themeColor="text1"/>
          <w:sz w:val="32"/>
          <w:szCs w:val="32"/>
        </w:rPr>
        <w:t>第二条</w:t>
      </w:r>
      <w:r>
        <w:rPr>
          <w:rFonts w:hint="eastAsia" w:ascii="仿宋_GB2312" w:hAnsi="仿宋_GB2312" w:eastAsia="仿宋_GB2312" w:cs="仿宋_GB2312"/>
          <w:color w:val="000000" w:themeColor="text1"/>
          <w:sz w:val="32"/>
          <w:szCs w:val="32"/>
        </w:rPr>
        <w:t xml:space="preserve">  本制度所指住宅项目物业服务监管信用等级主要判定因素包括</w:t>
      </w:r>
      <w:r>
        <w:rPr>
          <w:rFonts w:hint="eastAsia" w:ascii="仿宋_GB2312" w:eastAsia="仿宋_GB2312" w:hAnsiTheme="minorHAnsi"/>
          <w:bCs/>
          <w:color w:val="000000" w:themeColor="text1"/>
          <w:sz w:val="32"/>
          <w:szCs w:val="32"/>
        </w:rPr>
        <w:t>住宅项目物业服务违法违规问题被投诉、行政处罚及表彰奖励情况等监管记录</w:t>
      </w:r>
      <w:r>
        <w:rPr>
          <w:rFonts w:hint="eastAsia" w:ascii="仿宋_GB2312" w:eastAsia="仿宋_GB2312"/>
          <w:sz w:val="32"/>
          <w:szCs w:val="32"/>
        </w:rPr>
        <w:t>。</w:t>
      </w:r>
    </w:p>
    <w:p>
      <w:pPr>
        <w:autoSpaceDE w:val="0"/>
        <w:autoSpaceDN w:val="0"/>
        <w:adjustRightInd w:val="0"/>
        <w:spacing w:line="560" w:lineRule="exact"/>
        <w:ind w:firstLine="640" w:firstLineChars="200"/>
        <w:rPr>
          <w:rFonts w:ascii="仿宋_GB2312" w:eastAsia="仿宋_GB2312"/>
          <w:sz w:val="32"/>
          <w:szCs w:val="32"/>
        </w:rPr>
      </w:pPr>
      <w:r>
        <w:rPr>
          <w:rFonts w:hint="eastAsia" w:ascii="仿宋_GB2312" w:hAnsi="仿宋_GB2312" w:eastAsia="仿宋_GB2312" w:cs="仿宋_GB2312"/>
          <w:b/>
          <w:bCs/>
          <w:color w:val="000000" w:themeColor="text1"/>
          <w:sz w:val="32"/>
          <w:szCs w:val="32"/>
        </w:rPr>
        <w:t>第三条</w:t>
      </w:r>
      <w:r>
        <w:rPr>
          <w:rFonts w:hint="eastAsia" w:ascii="仿宋_GB2312" w:hAnsi="仿宋_GB2312" w:eastAsia="仿宋_GB2312" w:cs="仿宋_GB2312"/>
          <w:color w:val="000000" w:themeColor="text1"/>
          <w:sz w:val="32"/>
          <w:szCs w:val="32"/>
        </w:rPr>
        <w:t xml:space="preserve">  住宅项目物业服务监管与奖惩评价按照影响范围、影响程度等因素，予以分配不同的分值，综合确定住宅项目物业服务信用等级。</w:t>
      </w:r>
      <w:r>
        <w:rPr>
          <w:rFonts w:hint="eastAsia" w:ascii="仿宋_GB2312" w:eastAsia="仿宋_GB2312"/>
          <w:bCs/>
          <w:color w:val="000000" w:themeColor="text1"/>
          <w:sz w:val="32"/>
          <w:szCs w:val="32"/>
        </w:rPr>
        <w:t>信用评价基础分值为100分，扣分项分为20分、10分、5分三种情形，20分为特别严重失信行为、10分为较严重失信行为、5分为轻微失信行为；加分项分为5分、10分、20分、30分三种情形，获得街、乡镇奖励或表彰的加5分，获得区级奖励或表彰的加10分，获得市级奖励或表彰的加20分，获得国家级奖励或表彰的加30分</w:t>
      </w:r>
      <w:r>
        <w:rPr>
          <w:rFonts w:hint="eastAsia" w:ascii="仿宋_GB2312" w:eastAsia="仿宋_GB2312"/>
          <w:sz w:val="32"/>
          <w:szCs w:val="32"/>
        </w:rPr>
        <w:t>。</w:t>
      </w:r>
    </w:p>
    <w:p>
      <w:pPr>
        <w:autoSpaceDE w:val="0"/>
        <w:autoSpaceDN w:val="0"/>
        <w:adjustRightInd w:val="0"/>
        <w:spacing w:line="560" w:lineRule="exact"/>
        <w:ind w:firstLine="640" w:firstLineChars="200"/>
        <w:rPr>
          <w:rFonts w:ascii="仿宋_GB2312" w:eastAsia="仿宋_GB2312"/>
          <w:bCs/>
          <w:color w:val="000000" w:themeColor="text1"/>
          <w:sz w:val="32"/>
          <w:szCs w:val="32"/>
        </w:rPr>
      </w:pPr>
      <w:r>
        <w:rPr>
          <w:rFonts w:hint="eastAsia" w:ascii="仿宋_GB2312" w:eastAsia="仿宋_GB2312"/>
          <w:b/>
          <w:color w:val="000000" w:themeColor="text1"/>
          <w:sz w:val="32"/>
          <w:szCs w:val="32"/>
        </w:rPr>
        <w:t>第四条</w:t>
      </w:r>
      <w:r>
        <w:rPr>
          <w:rFonts w:hint="eastAsia" w:ascii="仿宋_GB2312" w:eastAsia="仿宋_GB2312"/>
          <w:bCs/>
          <w:color w:val="000000" w:themeColor="text1"/>
          <w:sz w:val="32"/>
          <w:szCs w:val="32"/>
        </w:rPr>
        <w:t xml:space="preserve">  住宅项目物业服务有下列情形之一的，扣20分：</w:t>
      </w:r>
    </w:p>
    <w:p>
      <w:pPr>
        <w:autoSpaceDE w:val="0"/>
        <w:autoSpaceDN w:val="0"/>
        <w:adjustRightInd w:val="0"/>
        <w:spacing w:line="560" w:lineRule="exact"/>
        <w:ind w:firstLine="640" w:firstLineChars="200"/>
        <w:rPr>
          <w:rFonts w:ascii="仿宋_GB2312" w:eastAsia="仿宋_GB2312"/>
          <w:bCs/>
          <w:color w:val="000000" w:themeColor="text1"/>
          <w:sz w:val="32"/>
          <w:szCs w:val="32"/>
        </w:rPr>
      </w:pPr>
      <w:r>
        <w:rPr>
          <w:rFonts w:hint="eastAsia" w:ascii="仿宋_GB2312" w:eastAsia="仿宋_GB2312"/>
          <w:bCs/>
          <w:color w:val="000000" w:themeColor="text1"/>
          <w:sz w:val="32"/>
          <w:szCs w:val="32"/>
        </w:rPr>
        <w:t>（一）因未遵守国家或本市相关法律法规和政策规定，被公安、规划、交通、市场监管、应急管理、消防救援、绿化市容、水务、环保、卫生、民防、城管执法等相关行政管理部门给予行政处罚的。</w:t>
      </w:r>
    </w:p>
    <w:p>
      <w:pPr>
        <w:autoSpaceDE w:val="0"/>
        <w:autoSpaceDN w:val="0"/>
        <w:adjustRightInd w:val="0"/>
        <w:spacing w:line="560" w:lineRule="exact"/>
        <w:ind w:firstLine="640" w:firstLineChars="200"/>
        <w:rPr>
          <w:rFonts w:ascii="仿宋_GB2312" w:eastAsia="仿宋_GB2312"/>
          <w:bCs/>
          <w:color w:val="000000" w:themeColor="text1"/>
          <w:sz w:val="32"/>
          <w:szCs w:val="32"/>
        </w:rPr>
      </w:pPr>
      <w:r>
        <w:rPr>
          <w:rFonts w:hint="eastAsia" w:ascii="仿宋_GB2312" w:eastAsia="仿宋_GB2312"/>
          <w:bCs/>
          <w:color w:val="000000" w:themeColor="text1"/>
          <w:sz w:val="32"/>
          <w:szCs w:val="32"/>
        </w:rPr>
        <w:t>（二）物业服务人在提供物业服务活动中利用工作便利，涉及违法犯罪，被治安管理处罚或刑事处罚的。</w:t>
      </w:r>
    </w:p>
    <w:p>
      <w:pPr>
        <w:autoSpaceDE w:val="0"/>
        <w:autoSpaceDN w:val="0"/>
        <w:adjustRightInd w:val="0"/>
        <w:spacing w:line="560" w:lineRule="exact"/>
        <w:ind w:firstLine="640" w:firstLineChars="200"/>
        <w:rPr>
          <w:rFonts w:ascii="仿宋_GB2312" w:eastAsia="仿宋_GB2312"/>
          <w:bCs/>
          <w:color w:val="000000" w:themeColor="text1"/>
          <w:sz w:val="32"/>
          <w:szCs w:val="32"/>
        </w:rPr>
      </w:pPr>
      <w:r>
        <w:rPr>
          <w:rFonts w:hint="eastAsia" w:ascii="仿宋_GB2312" w:eastAsia="仿宋_GB2312"/>
          <w:bCs/>
          <w:color w:val="000000" w:themeColor="text1"/>
          <w:sz w:val="32"/>
          <w:szCs w:val="32"/>
        </w:rPr>
        <w:t>（三）将物业服务合同约定的全部事项一并委托给第三方的。</w:t>
      </w:r>
    </w:p>
    <w:p>
      <w:pPr>
        <w:autoSpaceDE w:val="0"/>
        <w:autoSpaceDN w:val="0"/>
        <w:adjustRightInd w:val="0"/>
        <w:spacing w:line="560" w:lineRule="exact"/>
        <w:ind w:firstLine="640" w:firstLineChars="200"/>
        <w:rPr>
          <w:rFonts w:ascii="仿宋_GB2312" w:eastAsia="仿宋_GB2312"/>
          <w:bCs/>
          <w:color w:val="000000" w:themeColor="text1"/>
          <w:sz w:val="32"/>
          <w:szCs w:val="32"/>
        </w:rPr>
      </w:pPr>
      <w:r>
        <w:rPr>
          <w:rFonts w:hint="eastAsia" w:ascii="仿宋_GB2312" w:eastAsia="仿宋_GB2312"/>
          <w:bCs/>
          <w:color w:val="000000" w:themeColor="text1"/>
          <w:sz w:val="32"/>
          <w:szCs w:val="32"/>
        </w:rPr>
        <w:t>（四）物业服务期限届满前，物业服务人单方决定不再为该物业项目提供物业服务，未按规定提前九十日书面告知全体业主或业主委员会的；物业服务期限届满后，物业服务人单方决定不再为该物业项目提供物业服务，未按规定提前六十日书面告知全体业主或业主委员会的。</w:t>
      </w:r>
    </w:p>
    <w:p>
      <w:pPr>
        <w:spacing w:line="560" w:lineRule="exact"/>
        <w:ind w:firstLine="640" w:firstLineChars="200"/>
        <w:rPr>
          <w:rFonts w:ascii="仿宋_GB2312" w:eastAsia="仿宋_GB2312"/>
          <w:bCs/>
          <w:color w:val="000000" w:themeColor="text1"/>
          <w:sz w:val="32"/>
          <w:szCs w:val="32"/>
        </w:rPr>
      </w:pPr>
      <w:r>
        <w:rPr>
          <w:rFonts w:hint="eastAsia" w:ascii="仿宋_GB2312" w:eastAsia="仿宋_GB2312"/>
          <w:bCs/>
          <w:color w:val="000000" w:themeColor="text1"/>
          <w:sz w:val="32"/>
          <w:szCs w:val="32"/>
        </w:rPr>
        <w:t>（五）未落实《北京市物业管理条例》规定，物业项目交接时，拒不退出物业管理区域的。</w:t>
      </w:r>
    </w:p>
    <w:p>
      <w:pPr>
        <w:spacing w:line="560" w:lineRule="exact"/>
        <w:ind w:firstLine="640" w:firstLineChars="200"/>
      </w:pPr>
      <w:r>
        <w:rPr>
          <w:rFonts w:hint="eastAsia" w:ascii="仿宋_GB2312" w:eastAsia="仿宋_GB2312"/>
          <w:bCs/>
          <w:color w:val="000000" w:themeColor="text1"/>
          <w:sz w:val="32"/>
          <w:szCs w:val="32"/>
        </w:rPr>
        <w:t>（六）未落实安全生产主体责任，开展安全隐患排查，发生安全生产事故的。</w:t>
      </w:r>
    </w:p>
    <w:p>
      <w:pPr>
        <w:pStyle w:val="2"/>
        <w:numPr>
          <w:ilvl w:val="0"/>
          <w:numId w:val="0"/>
        </w:numPr>
        <w:ind w:firstLine="640" w:firstLineChars="200"/>
      </w:pPr>
      <w:r>
        <w:rPr>
          <w:rFonts w:hint="eastAsia" w:ascii="仿宋_GB2312" w:eastAsia="仿宋_GB2312"/>
          <w:bCs/>
          <w:color w:val="000000" w:themeColor="text1"/>
          <w:sz w:val="32"/>
          <w:szCs w:val="32"/>
        </w:rPr>
        <w:t>（七）因物业服务不标准不规范，</w:t>
      </w:r>
      <w:r>
        <w:rPr>
          <w:rFonts w:hint="eastAsia" w:ascii="仿宋_GB2312" w:eastAsia="仿宋_GB2312" w:hAnsiTheme="minorHAnsi"/>
          <w:bCs/>
          <w:color w:val="000000" w:themeColor="text1"/>
          <w:sz w:val="32"/>
          <w:szCs w:val="32"/>
        </w:rPr>
        <w:t>被列入市级物业管理突出问题专项治理范围的</w:t>
      </w:r>
      <w:r>
        <w:rPr>
          <w:rStyle w:val="42"/>
          <w:rFonts w:hint="eastAsia" w:ascii="仿宋_GB2312" w:eastAsia="仿宋_GB2312"/>
          <w:sz w:val="32"/>
          <w:szCs w:val="32"/>
        </w:rPr>
        <w:t>。</w:t>
      </w:r>
    </w:p>
    <w:p>
      <w:pPr>
        <w:autoSpaceDE w:val="0"/>
        <w:autoSpaceDN w:val="0"/>
        <w:adjustRightInd w:val="0"/>
        <w:spacing w:line="560" w:lineRule="exact"/>
        <w:ind w:firstLine="640" w:firstLineChars="200"/>
        <w:rPr>
          <w:rFonts w:ascii="仿宋_GB2312" w:eastAsia="仿宋_GB2312"/>
          <w:bCs/>
          <w:color w:val="000000" w:themeColor="text1"/>
          <w:sz w:val="32"/>
          <w:szCs w:val="32"/>
        </w:rPr>
      </w:pPr>
      <w:r>
        <w:rPr>
          <w:rFonts w:hint="eastAsia" w:ascii="仿宋_GB2312" w:eastAsia="仿宋_GB2312"/>
          <w:b/>
          <w:color w:val="000000" w:themeColor="text1"/>
          <w:sz w:val="32"/>
          <w:szCs w:val="32"/>
        </w:rPr>
        <w:t>第五条</w:t>
      </w:r>
      <w:r>
        <w:rPr>
          <w:rFonts w:hint="eastAsia" w:ascii="仿宋_GB2312" w:eastAsia="仿宋_GB2312"/>
          <w:bCs/>
          <w:color w:val="000000" w:themeColor="text1"/>
          <w:sz w:val="32"/>
          <w:szCs w:val="32"/>
        </w:rPr>
        <w:t xml:space="preserve">  住宅项目物业服务有下列情形之一的，扣10分：</w:t>
      </w:r>
    </w:p>
    <w:p>
      <w:pPr>
        <w:autoSpaceDE w:val="0"/>
        <w:autoSpaceDN w:val="0"/>
        <w:adjustRightInd w:val="0"/>
        <w:spacing w:line="560" w:lineRule="exact"/>
        <w:ind w:firstLine="640" w:firstLineChars="200"/>
        <w:rPr>
          <w:rFonts w:ascii="仿宋_GB2312" w:eastAsia="仿宋_GB2312"/>
          <w:bCs/>
          <w:color w:val="000000" w:themeColor="text1"/>
          <w:sz w:val="32"/>
          <w:szCs w:val="32"/>
        </w:rPr>
      </w:pPr>
      <w:r>
        <w:rPr>
          <w:rFonts w:hint="eastAsia" w:ascii="仿宋_GB2312" w:eastAsia="仿宋_GB2312"/>
          <w:bCs/>
          <w:color w:val="000000" w:themeColor="text1"/>
          <w:sz w:val="32"/>
          <w:szCs w:val="32"/>
        </w:rPr>
        <w:t>（一）物业服务合同签订或者变更之日起十五日内，未按规定将物业服务合同报街（乡镇）人民政府、区住房和城乡建设或者房屋主管部门备案的。</w:t>
      </w:r>
    </w:p>
    <w:p>
      <w:pPr>
        <w:autoSpaceDE w:val="0"/>
        <w:autoSpaceDN w:val="0"/>
        <w:adjustRightInd w:val="0"/>
        <w:spacing w:line="560" w:lineRule="exact"/>
        <w:ind w:firstLine="640" w:firstLineChars="200"/>
        <w:rPr>
          <w:rFonts w:ascii="仿宋_GB2312" w:eastAsia="仿宋_GB2312"/>
          <w:bCs/>
          <w:color w:val="000000" w:themeColor="text1"/>
          <w:sz w:val="32"/>
          <w:szCs w:val="32"/>
        </w:rPr>
      </w:pPr>
      <w:r>
        <w:rPr>
          <w:rFonts w:hint="eastAsia" w:ascii="仿宋_GB2312" w:eastAsia="仿宋_GB2312"/>
          <w:bCs/>
          <w:color w:val="000000" w:themeColor="text1"/>
          <w:sz w:val="32"/>
          <w:szCs w:val="32"/>
        </w:rPr>
        <w:t>（二）物业承接查验时，未按规定对移交的房屋及配套设施设备和相关场地进行检查验收，且未对相关资料进行核对接收的；或未按规定查验共用消防设施的完好状况，做好查验、交接记录，并告知全体业主的。</w:t>
      </w:r>
    </w:p>
    <w:p>
      <w:pPr>
        <w:spacing w:line="560" w:lineRule="exact"/>
        <w:ind w:firstLine="640" w:firstLineChars="200"/>
      </w:pPr>
      <w:r>
        <w:rPr>
          <w:rFonts w:hint="eastAsia" w:ascii="仿宋_GB2312" w:eastAsia="仿宋_GB2312"/>
          <w:bCs/>
          <w:color w:val="000000" w:themeColor="text1"/>
          <w:sz w:val="32"/>
          <w:szCs w:val="32"/>
        </w:rPr>
        <w:t>（三）未按规定建立本项目突发公共事件应急预案体系，包括但不限于消防及紧急疏散、电梯困人救援、高空坠物、设施设备突发故障等专项应急预案的；已建立各类应急预案但未进行定期演练的；发生高空坠物、公共卫生安全、火灾等突发事件后，未按规定及时采取相应应急措施的。</w:t>
      </w:r>
    </w:p>
    <w:p>
      <w:pPr>
        <w:autoSpaceDE w:val="0"/>
        <w:autoSpaceDN w:val="0"/>
        <w:adjustRightInd w:val="0"/>
        <w:spacing w:line="560" w:lineRule="exact"/>
        <w:ind w:firstLine="640" w:firstLineChars="200"/>
        <w:rPr>
          <w:rFonts w:ascii="仿宋_GB2312" w:eastAsia="仿宋_GB2312"/>
          <w:bCs/>
          <w:color w:val="000000" w:themeColor="text1"/>
          <w:sz w:val="32"/>
          <w:szCs w:val="32"/>
        </w:rPr>
      </w:pPr>
      <w:r>
        <w:rPr>
          <w:rFonts w:hint="eastAsia" w:ascii="仿宋_GB2312" w:eastAsia="仿宋_GB2312"/>
          <w:bCs/>
          <w:color w:val="000000" w:themeColor="text1"/>
          <w:sz w:val="32"/>
          <w:szCs w:val="32"/>
        </w:rPr>
        <w:t>（四）未在物业管理区域内显著位置设置公示栏，如实公示、及时更新物业服务标准、收费标准，上年度物业服务项目收支情况、本年度物业服务项目收支预算，公共水电费用分摊情况、物业费、公共收益收支与专项维修资金使用，物业管理区域内车位车库的出售和出租情况等应当公示的信息，主动接受业主监督的。</w:t>
      </w:r>
    </w:p>
    <w:p>
      <w:pPr>
        <w:autoSpaceDE w:val="0"/>
        <w:autoSpaceDN w:val="0"/>
        <w:adjustRightInd w:val="0"/>
        <w:spacing w:line="560" w:lineRule="exact"/>
        <w:ind w:firstLine="640" w:firstLineChars="200"/>
        <w:rPr>
          <w:rFonts w:ascii="仿宋_GB2312" w:eastAsia="仿宋_GB2312"/>
          <w:bCs/>
          <w:color w:val="000000" w:themeColor="text1"/>
          <w:sz w:val="32"/>
          <w:szCs w:val="32"/>
        </w:rPr>
      </w:pPr>
      <w:r>
        <w:rPr>
          <w:rFonts w:hint="eastAsia" w:ascii="仿宋_GB2312" w:eastAsia="仿宋_GB2312"/>
          <w:bCs/>
          <w:color w:val="000000" w:themeColor="text1"/>
          <w:sz w:val="32"/>
          <w:szCs w:val="32"/>
        </w:rPr>
        <w:t>（五）在专项维修资金使用管理上，存在挪用或侵占专项维修资金等违规行为的。</w:t>
      </w:r>
    </w:p>
    <w:p>
      <w:pPr>
        <w:autoSpaceDE w:val="0"/>
        <w:autoSpaceDN w:val="0"/>
        <w:adjustRightInd w:val="0"/>
        <w:spacing w:line="560" w:lineRule="exact"/>
        <w:ind w:firstLine="640" w:firstLineChars="200"/>
        <w:rPr>
          <w:rFonts w:ascii="仿宋_GB2312" w:eastAsia="仿宋_GB2312"/>
          <w:bCs/>
          <w:color w:val="000000" w:themeColor="text1"/>
          <w:sz w:val="32"/>
          <w:szCs w:val="32"/>
        </w:rPr>
      </w:pPr>
      <w:r>
        <w:rPr>
          <w:rFonts w:hint="eastAsia" w:ascii="仿宋_GB2312" w:eastAsia="仿宋_GB2312"/>
          <w:bCs/>
          <w:color w:val="000000" w:themeColor="text1"/>
          <w:sz w:val="32"/>
          <w:szCs w:val="32"/>
        </w:rPr>
        <w:t>（六）未按照前期物业服务合同、物业服务合同或物业服务协议约定、其他经公示的收费项目和标准收费的。</w:t>
      </w:r>
    </w:p>
    <w:p>
      <w:pPr>
        <w:autoSpaceDE w:val="0"/>
        <w:autoSpaceDN w:val="0"/>
        <w:adjustRightInd w:val="0"/>
        <w:spacing w:line="560" w:lineRule="exact"/>
        <w:ind w:firstLine="640" w:firstLineChars="200"/>
        <w:rPr>
          <w:rFonts w:ascii="仿宋_GB2312" w:eastAsia="仿宋_GB2312"/>
          <w:bCs/>
          <w:color w:val="000000" w:themeColor="text1"/>
          <w:sz w:val="32"/>
          <w:szCs w:val="32"/>
        </w:rPr>
      </w:pPr>
      <w:r>
        <w:rPr>
          <w:rFonts w:hint="eastAsia" w:ascii="仿宋_GB2312" w:eastAsia="仿宋_GB2312"/>
          <w:bCs/>
          <w:color w:val="000000" w:themeColor="text1"/>
          <w:sz w:val="32"/>
          <w:szCs w:val="32"/>
        </w:rPr>
        <w:t>（七）因物业服务不标准不规范，被列入区级物业管理突出问题专项治理范围的。</w:t>
      </w:r>
    </w:p>
    <w:p>
      <w:pPr>
        <w:autoSpaceDE w:val="0"/>
        <w:autoSpaceDN w:val="0"/>
        <w:adjustRightInd w:val="0"/>
        <w:spacing w:line="560" w:lineRule="exact"/>
        <w:ind w:firstLine="640" w:firstLineChars="200"/>
        <w:rPr>
          <w:rFonts w:ascii="仿宋_GB2312" w:eastAsia="仿宋_GB2312"/>
          <w:bCs/>
          <w:color w:val="000000" w:themeColor="text1"/>
          <w:sz w:val="32"/>
          <w:szCs w:val="32"/>
        </w:rPr>
      </w:pPr>
      <w:r>
        <w:rPr>
          <w:rFonts w:hint="eastAsia" w:ascii="仿宋_GB2312" w:eastAsia="仿宋_GB2312"/>
          <w:b/>
          <w:color w:val="000000" w:themeColor="text1"/>
          <w:sz w:val="32"/>
          <w:szCs w:val="32"/>
        </w:rPr>
        <w:t>第六条</w:t>
      </w:r>
      <w:r>
        <w:rPr>
          <w:rFonts w:hint="eastAsia" w:ascii="仿宋_GB2312" w:eastAsia="仿宋_GB2312"/>
          <w:bCs/>
          <w:color w:val="000000" w:themeColor="text1"/>
          <w:sz w:val="32"/>
          <w:szCs w:val="32"/>
        </w:rPr>
        <w:t xml:space="preserve">  住宅项目物业服务有下列情形之一的，扣5分：</w:t>
      </w:r>
    </w:p>
    <w:p>
      <w:pPr>
        <w:autoSpaceDE w:val="0"/>
        <w:autoSpaceDN w:val="0"/>
        <w:adjustRightInd w:val="0"/>
        <w:spacing w:line="560" w:lineRule="exact"/>
        <w:ind w:firstLine="640" w:firstLineChars="200"/>
        <w:rPr>
          <w:rFonts w:ascii="仿宋_GB2312" w:eastAsia="仿宋_GB2312"/>
          <w:bCs/>
          <w:color w:val="000000" w:themeColor="text1"/>
          <w:sz w:val="32"/>
          <w:szCs w:val="32"/>
        </w:rPr>
      </w:pPr>
      <w:r>
        <w:rPr>
          <w:rFonts w:hint="eastAsia" w:ascii="仿宋_GB2312" w:eastAsia="仿宋_GB2312"/>
          <w:bCs/>
          <w:color w:val="000000" w:themeColor="text1"/>
          <w:sz w:val="32"/>
          <w:szCs w:val="32"/>
        </w:rPr>
        <w:t>（一）未按规定委派物业项目经理，作为项目中组织实施物业服务活动负责人，并在到岗之日起三日内到项目所在地的居民委员会、村民委员会报到的。</w:t>
      </w:r>
    </w:p>
    <w:p>
      <w:pPr>
        <w:autoSpaceDE w:val="0"/>
        <w:autoSpaceDN w:val="0"/>
        <w:adjustRightInd w:val="0"/>
        <w:spacing w:line="560" w:lineRule="exact"/>
        <w:ind w:firstLine="640" w:firstLineChars="200"/>
        <w:rPr>
          <w:rFonts w:ascii="仿宋_GB2312" w:eastAsia="仿宋_GB2312"/>
          <w:bCs/>
          <w:color w:val="000000" w:themeColor="text1"/>
          <w:sz w:val="32"/>
          <w:szCs w:val="32"/>
        </w:rPr>
      </w:pPr>
      <w:r>
        <w:rPr>
          <w:rFonts w:hint="eastAsia" w:ascii="仿宋_GB2312" w:eastAsia="仿宋_GB2312"/>
          <w:bCs/>
          <w:color w:val="000000" w:themeColor="text1"/>
          <w:sz w:val="32"/>
          <w:szCs w:val="32"/>
        </w:rPr>
        <w:t>（二）未按我市《住宅物业服务标准》一至五级标准，提供相对应的客户接待、应急报修、意见反馈等基础服务，落实共用部位及共用设施设备运行养护、绿化养护、环境卫生维护、公共秩序要求的。</w:t>
      </w:r>
    </w:p>
    <w:p>
      <w:pPr>
        <w:autoSpaceDE w:val="0"/>
        <w:autoSpaceDN w:val="0"/>
        <w:adjustRightInd w:val="0"/>
        <w:spacing w:line="560" w:lineRule="exact"/>
        <w:ind w:firstLine="640" w:firstLineChars="200"/>
        <w:rPr>
          <w:rFonts w:ascii="仿宋_GB2312" w:eastAsia="仿宋_GB2312"/>
          <w:bCs/>
          <w:color w:val="000000" w:themeColor="text1"/>
          <w:sz w:val="32"/>
          <w:szCs w:val="32"/>
        </w:rPr>
      </w:pPr>
      <w:r>
        <w:rPr>
          <w:rFonts w:hint="eastAsia" w:ascii="仿宋_GB2312" w:eastAsia="仿宋_GB2312"/>
          <w:bCs/>
          <w:color w:val="000000" w:themeColor="text1"/>
          <w:sz w:val="32"/>
          <w:szCs w:val="32"/>
        </w:rPr>
        <w:t>（三）未设置生活垃圾分类收集容器及分类标识，未落实每日清运1次生活垃圾到指定垃圾消纳场所，将生活垃圾交由未经许可或者备案的企业和个人进行处置，未办理生活垃圾排放登记或者登记信息虚假的。</w:t>
      </w:r>
    </w:p>
    <w:p>
      <w:pPr>
        <w:autoSpaceDE w:val="0"/>
        <w:autoSpaceDN w:val="0"/>
        <w:adjustRightInd w:val="0"/>
        <w:spacing w:line="560" w:lineRule="exact"/>
        <w:ind w:firstLine="640" w:firstLineChars="200"/>
        <w:rPr>
          <w:rFonts w:ascii="仿宋_GB2312" w:eastAsia="仿宋_GB2312"/>
          <w:bCs/>
          <w:color w:val="000000" w:themeColor="text1"/>
          <w:sz w:val="32"/>
          <w:szCs w:val="32"/>
        </w:rPr>
      </w:pPr>
      <w:r>
        <w:rPr>
          <w:rFonts w:hint="eastAsia" w:ascii="仿宋_GB2312" w:eastAsia="仿宋_GB2312"/>
          <w:bCs/>
          <w:color w:val="000000" w:themeColor="text1"/>
          <w:sz w:val="32"/>
          <w:szCs w:val="32"/>
        </w:rPr>
        <w:t>（四）未按规定落实装修装饰登记办理、管理协议签定、日常巡查等制度，向业主或者物业使用人收取或者变相收取住宅室内装饰装修管理服务费和住宅室内装饰装修保证金（含装修押金）的。</w:t>
      </w:r>
    </w:p>
    <w:p>
      <w:pPr>
        <w:autoSpaceDE w:val="0"/>
        <w:autoSpaceDN w:val="0"/>
        <w:adjustRightInd w:val="0"/>
        <w:spacing w:line="560" w:lineRule="exact"/>
        <w:ind w:firstLine="640" w:firstLineChars="200"/>
      </w:pPr>
      <w:r>
        <w:rPr>
          <w:rFonts w:hint="eastAsia" w:ascii="仿宋_GB2312" w:eastAsia="仿宋_GB2312"/>
          <w:bCs/>
          <w:color w:val="000000" w:themeColor="text1"/>
          <w:sz w:val="32"/>
          <w:szCs w:val="32"/>
        </w:rPr>
        <w:t>（五）未建立物业服务活动中形成的与业主利益相关的档案和资料的；未按照规定建立房屋建筑使用安全管理档案并如实记录的。</w:t>
      </w:r>
    </w:p>
    <w:p>
      <w:pPr>
        <w:autoSpaceDE w:val="0"/>
        <w:autoSpaceDN w:val="0"/>
        <w:adjustRightInd w:val="0"/>
        <w:spacing w:line="560" w:lineRule="exact"/>
        <w:ind w:firstLine="640" w:firstLineChars="200"/>
        <w:rPr>
          <w:rFonts w:ascii="仿宋_GB2312" w:eastAsia="仿宋_GB2312"/>
          <w:bCs/>
          <w:color w:val="000000" w:themeColor="text1"/>
          <w:sz w:val="32"/>
          <w:szCs w:val="32"/>
        </w:rPr>
      </w:pPr>
      <w:r>
        <w:rPr>
          <w:rFonts w:hint="eastAsia" w:ascii="仿宋_GB2312" w:eastAsia="仿宋_GB2312"/>
          <w:bCs/>
          <w:color w:val="000000" w:themeColor="text1"/>
          <w:sz w:val="32"/>
          <w:szCs w:val="32"/>
        </w:rPr>
        <w:t>（六）对服务范围内出现的违反治安、规划、消防、环保、市容等法律法规规定的行为，物业服务人未履行及时发现、劝阻责任；劝阻无效的，未及时报告相关行政主管部门的。</w:t>
      </w:r>
    </w:p>
    <w:p>
      <w:pPr>
        <w:autoSpaceDE w:val="0"/>
        <w:autoSpaceDN w:val="0"/>
        <w:adjustRightInd w:val="0"/>
        <w:spacing w:line="560" w:lineRule="exact"/>
        <w:ind w:firstLine="640" w:firstLineChars="200"/>
        <w:rPr>
          <w:rFonts w:ascii="仿宋_GB2312" w:eastAsia="仿宋_GB2312"/>
          <w:bCs/>
          <w:color w:val="000000" w:themeColor="text1"/>
          <w:sz w:val="32"/>
          <w:szCs w:val="32"/>
        </w:rPr>
      </w:pPr>
      <w:r>
        <w:rPr>
          <w:rFonts w:hint="eastAsia" w:ascii="仿宋_GB2312" w:eastAsia="仿宋_GB2312"/>
          <w:bCs/>
          <w:color w:val="000000" w:themeColor="text1"/>
          <w:sz w:val="32"/>
          <w:szCs w:val="32"/>
        </w:rPr>
        <w:t>（七）未按相关政策规定履行职责，经本市住建和房屋行政管理等部门、街乡镇责令限期整改，逾期仍未改正的。</w:t>
      </w:r>
    </w:p>
    <w:p>
      <w:pPr>
        <w:autoSpaceDE w:val="0"/>
        <w:autoSpaceDN w:val="0"/>
        <w:adjustRightInd w:val="0"/>
        <w:spacing w:line="560" w:lineRule="exact"/>
        <w:ind w:firstLine="640" w:firstLineChars="200"/>
        <w:rPr>
          <w:rStyle w:val="42"/>
          <w:rFonts w:ascii="仿宋_GB2312" w:eastAsia="仿宋_GB2312"/>
          <w:sz w:val="32"/>
          <w:szCs w:val="32"/>
        </w:rPr>
      </w:pPr>
      <w:r>
        <w:rPr>
          <w:rFonts w:hint="eastAsia" w:ascii="仿宋_GB2312" w:eastAsia="仿宋_GB2312"/>
          <w:bCs/>
          <w:color w:val="000000" w:themeColor="text1"/>
          <w:sz w:val="32"/>
          <w:szCs w:val="32"/>
        </w:rPr>
        <w:t>（八）因物业服务不标准不规范，被列入街、乡镇物业管理突出问题专项治理范围的</w:t>
      </w:r>
      <w:r>
        <w:rPr>
          <w:rStyle w:val="42"/>
          <w:rFonts w:hint="eastAsia" w:ascii="仿宋_GB2312" w:eastAsia="仿宋_GB2312"/>
          <w:sz w:val="32"/>
          <w:szCs w:val="32"/>
        </w:rPr>
        <w:t>。</w:t>
      </w:r>
    </w:p>
    <w:p>
      <w:pPr>
        <w:autoSpaceDE w:val="0"/>
        <w:autoSpaceDN w:val="0"/>
        <w:adjustRightInd w:val="0"/>
        <w:spacing w:line="560" w:lineRule="exact"/>
        <w:ind w:firstLine="640" w:firstLineChars="200"/>
        <w:rPr>
          <w:rFonts w:ascii="仿宋_GB2312" w:eastAsia="仿宋_GB2312"/>
          <w:sz w:val="32"/>
          <w:szCs w:val="32"/>
        </w:rPr>
      </w:pPr>
      <w:r>
        <w:rPr>
          <w:rFonts w:hint="eastAsia" w:ascii="仿宋_GB2312" w:eastAsia="仿宋_GB2312"/>
          <w:b/>
          <w:bCs/>
          <w:sz w:val="32"/>
          <w:szCs w:val="32"/>
        </w:rPr>
        <w:t>第七条</w:t>
      </w:r>
      <w:r>
        <w:rPr>
          <w:rFonts w:hint="eastAsia" w:ascii="仿宋_GB2312" w:eastAsia="仿宋_GB2312"/>
          <w:sz w:val="32"/>
          <w:szCs w:val="32"/>
        </w:rPr>
        <w:t xml:space="preserve">  根据分数将住宅项目物业服务信用行为分为四等九级等级，由高至低分别为A、A-、B+、B、B-、C+、C、C-、D级，具体评价标准如下。</w:t>
      </w:r>
    </w:p>
    <w:p>
      <w:pPr>
        <w:autoSpaceDE w:val="0"/>
        <w:autoSpaceDN w:val="0"/>
        <w:adjustRightInd w:val="0"/>
        <w:spacing w:line="560" w:lineRule="exact"/>
        <w:ind w:firstLine="420" w:firstLineChars="200"/>
      </w:pPr>
    </w:p>
    <w:tbl>
      <w:tblPr>
        <w:tblStyle w:val="26"/>
        <w:tblW w:w="91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1"/>
        <w:gridCol w:w="2250"/>
        <w:gridCol w:w="3030"/>
        <w:gridCol w:w="26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9177" w:type="dxa"/>
            <w:gridSpan w:val="4"/>
            <w:vAlign w:val="center"/>
          </w:tcPr>
          <w:p>
            <w:pPr>
              <w:adjustRightInd w:val="0"/>
              <w:snapToGrid w:val="0"/>
              <w:spacing w:line="560" w:lineRule="exact"/>
              <w:jc w:val="center"/>
              <w:rPr>
                <w:rFonts w:ascii="宋体" w:hAnsi="宋体" w:cs="宋体"/>
                <w:b/>
                <w:bCs/>
                <w:kern w:val="0"/>
                <w:szCs w:val="21"/>
              </w:rPr>
            </w:pPr>
            <w:r>
              <w:rPr>
                <w:rFonts w:hint="eastAsia" w:ascii="仿宋_GB2312" w:eastAsia="仿宋_GB2312"/>
                <w:b/>
                <w:sz w:val="32"/>
                <w:szCs w:val="32"/>
              </w:rPr>
              <w:t>信用等级评估表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3531" w:type="dxa"/>
            <w:gridSpan w:val="2"/>
            <w:vAlign w:val="center"/>
          </w:tcPr>
          <w:p>
            <w:pPr>
              <w:adjustRightInd w:val="0"/>
              <w:snapToGrid w:val="0"/>
              <w:spacing w:line="560" w:lineRule="exact"/>
              <w:jc w:val="center"/>
              <w:rPr>
                <w:rFonts w:ascii="宋体" w:hAnsi="宋体" w:cs="宋体"/>
                <w:b/>
                <w:bCs/>
                <w:kern w:val="0"/>
                <w:szCs w:val="21"/>
              </w:rPr>
            </w:pPr>
            <w:r>
              <w:rPr>
                <w:rFonts w:hint="eastAsia" w:ascii="宋体" w:hAnsi="宋体" w:cs="宋体"/>
                <w:b/>
                <w:bCs/>
                <w:kern w:val="0"/>
                <w:szCs w:val="21"/>
              </w:rPr>
              <w:t>信用监管等级</w:t>
            </w:r>
          </w:p>
        </w:tc>
        <w:tc>
          <w:tcPr>
            <w:tcW w:w="3030" w:type="dxa"/>
            <w:vAlign w:val="center"/>
          </w:tcPr>
          <w:p>
            <w:pPr>
              <w:adjustRightInd w:val="0"/>
              <w:snapToGrid w:val="0"/>
              <w:spacing w:line="560" w:lineRule="exact"/>
              <w:jc w:val="center"/>
              <w:rPr>
                <w:rFonts w:ascii="宋体" w:hAnsi="宋体" w:cs="宋体"/>
                <w:b/>
                <w:bCs/>
                <w:kern w:val="0"/>
                <w:szCs w:val="21"/>
              </w:rPr>
            </w:pPr>
            <w:r>
              <w:rPr>
                <w:rFonts w:hint="eastAsia" w:ascii="宋体" w:hAnsi="宋体" w:cs="宋体"/>
                <w:b/>
                <w:bCs/>
                <w:kern w:val="0"/>
                <w:szCs w:val="21"/>
              </w:rPr>
              <w:t>信用评分</w:t>
            </w:r>
          </w:p>
        </w:tc>
        <w:tc>
          <w:tcPr>
            <w:tcW w:w="2616" w:type="dxa"/>
            <w:vAlign w:val="center"/>
          </w:tcPr>
          <w:p>
            <w:pPr>
              <w:adjustRightInd w:val="0"/>
              <w:snapToGrid w:val="0"/>
              <w:spacing w:line="560" w:lineRule="exact"/>
              <w:jc w:val="center"/>
              <w:rPr>
                <w:rFonts w:ascii="宋体" w:hAnsi="宋体" w:cs="宋体"/>
                <w:b/>
                <w:bCs/>
                <w:kern w:val="0"/>
                <w:szCs w:val="21"/>
              </w:rPr>
            </w:pPr>
            <w:r>
              <w:rPr>
                <w:rFonts w:hint="eastAsia" w:ascii="宋体" w:hAnsi="宋体" w:cs="宋体"/>
                <w:b/>
                <w:bCs/>
                <w:kern w:val="0"/>
                <w:szCs w:val="21"/>
              </w:rPr>
              <w:t>奖罚评价得分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1281" w:type="dxa"/>
            <w:vMerge w:val="restart"/>
            <w:vAlign w:val="center"/>
          </w:tcPr>
          <w:p>
            <w:pPr>
              <w:adjustRightInd w:val="0"/>
              <w:snapToGrid w:val="0"/>
              <w:spacing w:line="560" w:lineRule="exact"/>
              <w:jc w:val="center"/>
              <w:rPr>
                <w:rFonts w:ascii="宋体" w:hAnsi="宋体" w:cs="宋体"/>
                <w:kern w:val="0"/>
                <w:szCs w:val="21"/>
              </w:rPr>
            </w:pPr>
            <w:r>
              <w:rPr>
                <w:rFonts w:hint="eastAsia" w:ascii="宋体" w:hAnsi="宋体" w:cs="宋体"/>
                <w:kern w:val="0"/>
                <w:szCs w:val="21"/>
              </w:rPr>
              <w:t>A级</w:t>
            </w:r>
          </w:p>
        </w:tc>
        <w:tc>
          <w:tcPr>
            <w:tcW w:w="2250" w:type="dxa"/>
            <w:vAlign w:val="center"/>
          </w:tcPr>
          <w:p>
            <w:pPr>
              <w:adjustRightInd w:val="0"/>
              <w:snapToGrid w:val="0"/>
              <w:spacing w:line="560" w:lineRule="exact"/>
              <w:jc w:val="center"/>
              <w:rPr>
                <w:rFonts w:ascii="宋体" w:hAnsi="宋体" w:cs="宋体"/>
                <w:kern w:val="0"/>
                <w:szCs w:val="21"/>
              </w:rPr>
            </w:pPr>
            <w:r>
              <w:rPr>
                <w:rFonts w:hint="eastAsia" w:ascii="宋体" w:hAnsi="宋体" w:cs="宋体"/>
                <w:kern w:val="0"/>
                <w:szCs w:val="21"/>
              </w:rPr>
              <w:t>A级</w:t>
            </w:r>
          </w:p>
        </w:tc>
        <w:tc>
          <w:tcPr>
            <w:tcW w:w="3030" w:type="dxa"/>
            <w:vAlign w:val="center"/>
          </w:tcPr>
          <w:p>
            <w:pPr>
              <w:adjustRightInd w:val="0"/>
              <w:snapToGrid w:val="0"/>
              <w:spacing w:line="560" w:lineRule="exact"/>
              <w:jc w:val="center"/>
              <w:rPr>
                <w:rFonts w:ascii="宋体" w:hAnsi="宋体" w:eastAsia="宋体" w:cs="宋体"/>
                <w:kern w:val="0"/>
                <w:szCs w:val="21"/>
              </w:rPr>
            </w:pPr>
            <w:r>
              <w:rPr>
                <w:rFonts w:hint="eastAsia" w:ascii="宋体" w:hAnsi="宋体" w:cs="宋体"/>
                <w:kern w:val="0"/>
                <w:szCs w:val="21"/>
              </w:rPr>
              <w:t>120分（含）-130分（含）</w:t>
            </w:r>
          </w:p>
        </w:tc>
        <w:tc>
          <w:tcPr>
            <w:tcW w:w="2616" w:type="dxa"/>
            <w:vAlign w:val="center"/>
          </w:tcPr>
          <w:p>
            <w:pPr>
              <w:adjustRightInd w:val="0"/>
              <w:snapToGrid w:val="0"/>
              <w:spacing w:line="560" w:lineRule="exact"/>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7" w:hRule="atLeast"/>
          <w:jc w:val="center"/>
        </w:trPr>
        <w:tc>
          <w:tcPr>
            <w:tcW w:w="1281" w:type="dxa"/>
            <w:vMerge w:val="continue"/>
            <w:vAlign w:val="center"/>
          </w:tcPr>
          <w:p>
            <w:pPr>
              <w:adjustRightInd w:val="0"/>
              <w:snapToGrid w:val="0"/>
              <w:spacing w:line="560" w:lineRule="exact"/>
              <w:jc w:val="center"/>
              <w:rPr>
                <w:rFonts w:ascii="宋体" w:hAnsi="宋体" w:cs="宋体"/>
                <w:kern w:val="0"/>
                <w:szCs w:val="21"/>
              </w:rPr>
            </w:pPr>
          </w:p>
        </w:tc>
        <w:tc>
          <w:tcPr>
            <w:tcW w:w="2250" w:type="dxa"/>
            <w:vAlign w:val="center"/>
          </w:tcPr>
          <w:p>
            <w:pPr>
              <w:adjustRightInd w:val="0"/>
              <w:snapToGrid w:val="0"/>
              <w:spacing w:line="560" w:lineRule="exact"/>
              <w:jc w:val="center"/>
              <w:rPr>
                <w:rFonts w:ascii="宋体" w:hAnsi="宋体" w:cs="宋体"/>
                <w:kern w:val="0"/>
                <w:szCs w:val="21"/>
              </w:rPr>
            </w:pPr>
            <w:r>
              <w:rPr>
                <w:rFonts w:hint="eastAsia" w:ascii="宋体" w:hAnsi="宋体" w:cs="宋体"/>
                <w:kern w:val="0"/>
                <w:szCs w:val="21"/>
              </w:rPr>
              <w:t>A-级</w:t>
            </w:r>
          </w:p>
        </w:tc>
        <w:tc>
          <w:tcPr>
            <w:tcW w:w="3030" w:type="dxa"/>
            <w:vAlign w:val="center"/>
          </w:tcPr>
          <w:p>
            <w:pPr>
              <w:adjustRightInd w:val="0"/>
              <w:snapToGrid w:val="0"/>
              <w:spacing w:line="560" w:lineRule="exact"/>
              <w:jc w:val="center"/>
              <w:rPr>
                <w:rFonts w:ascii="宋体" w:hAnsi="宋体" w:cs="宋体"/>
                <w:kern w:val="0"/>
                <w:szCs w:val="21"/>
              </w:rPr>
            </w:pPr>
            <w:r>
              <w:rPr>
                <w:rFonts w:hint="eastAsia" w:ascii="宋体" w:hAnsi="宋体" w:cs="宋体"/>
                <w:kern w:val="0"/>
                <w:szCs w:val="21"/>
              </w:rPr>
              <w:t>110分（含）-120分（不含）</w:t>
            </w:r>
          </w:p>
        </w:tc>
        <w:tc>
          <w:tcPr>
            <w:tcW w:w="2616" w:type="dxa"/>
            <w:vAlign w:val="center"/>
          </w:tcPr>
          <w:p>
            <w:pPr>
              <w:adjustRightInd w:val="0"/>
              <w:snapToGrid w:val="0"/>
              <w:spacing w:line="560" w:lineRule="exact"/>
              <w:jc w:val="center"/>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1281" w:type="dxa"/>
            <w:vMerge w:val="restart"/>
            <w:vAlign w:val="center"/>
          </w:tcPr>
          <w:p>
            <w:pPr>
              <w:adjustRightInd w:val="0"/>
              <w:snapToGrid w:val="0"/>
              <w:spacing w:line="560" w:lineRule="exact"/>
              <w:jc w:val="center"/>
              <w:rPr>
                <w:rFonts w:ascii="宋体" w:hAnsi="宋体" w:cs="宋体"/>
                <w:kern w:val="0"/>
                <w:szCs w:val="21"/>
              </w:rPr>
            </w:pPr>
            <w:r>
              <w:rPr>
                <w:rFonts w:hint="eastAsia" w:ascii="宋体" w:hAnsi="宋体" w:cs="宋体"/>
                <w:kern w:val="0"/>
                <w:szCs w:val="21"/>
              </w:rPr>
              <w:t>B级</w:t>
            </w:r>
          </w:p>
        </w:tc>
        <w:tc>
          <w:tcPr>
            <w:tcW w:w="2250" w:type="dxa"/>
            <w:vAlign w:val="center"/>
          </w:tcPr>
          <w:p>
            <w:pPr>
              <w:adjustRightInd w:val="0"/>
              <w:snapToGrid w:val="0"/>
              <w:spacing w:line="560" w:lineRule="exact"/>
              <w:jc w:val="center"/>
              <w:rPr>
                <w:rFonts w:ascii="宋体" w:hAnsi="宋体" w:cs="宋体"/>
                <w:kern w:val="0"/>
                <w:szCs w:val="21"/>
              </w:rPr>
            </w:pPr>
            <w:r>
              <w:rPr>
                <w:rFonts w:hint="eastAsia" w:ascii="宋体" w:hAnsi="宋体" w:cs="宋体"/>
                <w:kern w:val="0"/>
                <w:szCs w:val="21"/>
              </w:rPr>
              <w:t>B+级</w:t>
            </w:r>
          </w:p>
        </w:tc>
        <w:tc>
          <w:tcPr>
            <w:tcW w:w="3030" w:type="dxa"/>
            <w:vAlign w:val="center"/>
          </w:tcPr>
          <w:p>
            <w:pPr>
              <w:adjustRightInd w:val="0"/>
              <w:snapToGrid w:val="0"/>
              <w:spacing w:line="560" w:lineRule="exact"/>
              <w:jc w:val="center"/>
              <w:rPr>
                <w:rFonts w:ascii="宋体" w:hAnsi="宋体" w:cs="宋体"/>
                <w:kern w:val="0"/>
                <w:szCs w:val="21"/>
              </w:rPr>
            </w:pPr>
            <w:r>
              <w:rPr>
                <w:rFonts w:hint="eastAsia" w:ascii="宋体" w:hAnsi="宋体" w:cs="宋体"/>
                <w:kern w:val="0"/>
                <w:szCs w:val="21"/>
              </w:rPr>
              <w:t>100分（含）-110分（不含）</w:t>
            </w:r>
          </w:p>
        </w:tc>
        <w:tc>
          <w:tcPr>
            <w:tcW w:w="2616" w:type="dxa"/>
            <w:vAlign w:val="center"/>
          </w:tcPr>
          <w:p>
            <w:pPr>
              <w:adjustRightInd w:val="0"/>
              <w:snapToGrid w:val="0"/>
              <w:spacing w:line="560" w:lineRule="exact"/>
              <w:jc w:val="center"/>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1281" w:type="dxa"/>
            <w:vMerge w:val="continue"/>
            <w:vAlign w:val="center"/>
          </w:tcPr>
          <w:p>
            <w:pPr>
              <w:adjustRightInd w:val="0"/>
              <w:snapToGrid w:val="0"/>
              <w:spacing w:line="560" w:lineRule="exact"/>
              <w:jc w:val="center"/>
              <w:rPr>
                <w:rFonts w:ascii="宋体" w:hAnsi="宋体" w:cs="宋体"/>
                <w:kern w:val="0"/>
                <w:szCs w:val="21"/>
              </w:rPr>
            </w:pPr>
          </w:p>
        </w:tc>
        <w:tc>
          <w:tcPr>
            <w:tcW w:w="2250" w:type="dxa"/>
            <w:vAlign w:val="center"/>
          </w:tcPr>
          <w:p>
            <w:pPr>
              <w:adjustRightInd w:val="0"/>
              <w:snapToGrid w:val="0"/>
              <w:spacing w:line="560" w:lineRule="exact"/>
              <w:jc w:val="center"/>
              <w:rPr>
                <w:rFonts w:ascii="宋体" w:hAnsi="宋体" w:cs="宋体"/>
                <w:kern w:val="0"/>
                <w:szCs w:val="21"/>
              </w:rPr>
            </w:pPr>
            <w:r>
              <w:rPr>
                <w:rFonts w:hint="eastAsia" w:ascii="宋体" w:hAnsi="宋体" w:cs="宋体"/>
                <w:kern w:val="0"/>
                <w:szCs w:val="21"/>
              </w:rPr>
              <w:t>B级</w:t>
            </w:r>
          </w:p>
        </w:tc>
        <w:tc>
          <w:tcPr>
            <w:tcW w:w="3030" w:type="dxa"/>
            <w:vAlign w:val="center"/>
          </w:tcPr>
          <w:p>
            <w:pPr>
              <w:adjustRightInd w:val="0"/>
              <w:snapToGrid w:val="0"/>
              <w:spacing w:line="560" w:lineRule="exact"/>
              <w:jc w:val="center"/>
              <w:rPr>
                <w:rFonts w:ascii="宋体" w:hAnsi="宋体" w:cs="宋体"/>
                <w:kern w:val="0"/>
                <w:szCs w:val="21"/>
              </w:rPr>
            </w:pPr>
            <w:r>
              <w:rPr>
                <w:rFonts w:hint="eastAsia" w:ascii="宋体" w:hAnsi="宋体" w:cs="宋体"/>
                <w:kern w:val="0"/>
                <w:szCs w:val="21"/>
              </w:rPr>
              <w:t>90分（含）-100分（不含）</w:t>
            </w:r>
          </w:p>
        </w:tc>
        <w:tc>
          <w:tcPr>
            <w:tcW w:w="2616" w:type="dxa"/>
            <w:vAlign w:val="center"/>
          </w:tcPr>
          <w:p>
            <w:pPr>
              <w:adjustRightInd w:val="0"/>
              <w:snapToGrid w:val="0"/>
              <w:spacing w:line="560" w:lineRule="exact"/>
              <w:jc w:val="center"/>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1281" w:type="dxa"/>
            <w:vMerge w:val="continue"/>
            <w:vAlign w:val="center"/>
          </w:tcPr>
          <w:p>
            <w:pPr>
              <w:adjustRightInd w:val="0"/>
              <w:snapToGrid w:val="0"/>
              <w:spacing w:line="560" w:lineRule="exact"/>
              <w:jc w:val="center"/>
              <w:rPr>
                <w:rFonts w:ascii="宋体" w:hAnsi="宋体" w:cs="宋体"/>
                <w:kern w:val="0"/>
                <w:szCs w:val="21"/>
              </w:rPr>
            </w:pPr>
          </w:p>
        </w:tc>
        <w:tc>
          <w:tcPr>
            <w:tcW w:w="2250" w:type="dxa"/>
            <w:vAlign w:val="center"/>
          </w:tcPr>
          <w:p>
            <w:pPr>
              <w:adjustRightInd w:val="0"/>
              <w:snapToGrid w:val="0"/>
              <w:spacing w:line="560" w:lineRule="exact"/>
              <w:jc w:val="center"/>
              <w:rPr>
                <w:rFonts w:ascii="宋体" w:hAnsi="宋体" w:cs="宋体"/>
                <w:kern w:val="0"/>
                <w:szCs w:val="21"/>
              </w:rPr>
            </w:pPr>
            <w:r>
              <w:rPr>
                <w:rFonts w:hint="eastAsia" w:ascii="宋体" w:hAnsi="宋体" w:cs="宋体"/>
                <w:kern w:val="0"/>
                <w:szCs w:val="21"/>
              </w:rPr>
              <w:t>B-级</w:t>
            </w:r>
          </w:p>
        </w:tc>
        <w:tc>
          <w:tcPr>
            <w:tcW w:w="3030" w:type="dxa"/>
            <w:vAlign w:val="center"/>
          </w:tcPr>
          <w:p>
            <w:pPr>
              <w:adjustRightInd w:val="0"/>
              <w:snapToGrid w:val="0"/>
              <w:spacing w:line="560" w:lineRule="exact"/>
              <w:jc w:val="center"/>
              <w:rPr>
                <w:rFonts w:ascii="宋体" w:hAnsi="宋体" w:cs="宋体"/>
                <w:kern w:val="0"/>
                <w:szCs w:val="21"/>
              </w:rPr>
            </w:pPr>
            <w:r>
              <w:rPr>
                <w:rFonts w:hint="eastAsia" w:ascii="宋体" w:hAnsi="宋体" w:cs="宋体"/>
                <w:kern w:val="0"/>
                <w:szCs w:val="21"/>
              </w:rPr>
              <w:t>80分（含）</w:t>
            </w:r>
            <w:r>
              <w:rPr>
                <w:rFonts w:ascii="宋体" w:hAnsi="宋体" w:cs="宋体"/>
                <w:kern w:val="0"/>
                <w:szCs w:val="21"/>
              </w:rPr>
              <w:t>-</w:t>
            </w:r>
            <w:r>
              <w:rPr>
                <w:rFonts w:hint="eastAsia" w:ascii="宋体" w:hAnsi="宋体" w:cs="宋体"/>
                <w:kern w:val="0"/>
                <w:szCs w:val="21"/>
              </w:rPr>
              <w:t>90分（不含）</w:t>
            </w:r>
          </w:p>
        </w:tc>
        <w:tc>
          <w:tcPr>
            <w:tcW w:w="2616" w:type="dxa"/>
            <w:vAlign w:val="center"/>
          </w:tcPr>
          <w:p>
            <w:pPr>
              <w:adjustRightInd w:val="0"/>
              <w:snapToGrid w:val="0"/>
              <w:spacing w:line="560" w:lineRule="exact"/>
              <w:jc w:val="center"/>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7" w:hRule="atLeast"/>
          <w:jc w:val="center"/>
        </w:trPr>
        <w:tc>
          <w:tcPr>
            <w:tcW w:w="1281" w:type="dxa"/>
            <w:vMerge w:val="restart"/>
            <w:vAlign w:val="center"/>
          </w:tcPr>
          <w:p>
            <w:pPr>
              <w:adjustRightInd w:val="0"/>
              <w:snapToGrid w:val="0"/>
              <w:spacing w:line="560" w:lineRule="exact"/>
              <w:jc w:val="center"/>
              <w:rPr>
                <w:rFonts w:ascii="宋体" w:hAnsi="宋体" w:cs="宋体"/>
                <w:kern w:val="0"/>
                <w:szCs w:val="21"/>
              </w:rPr>
            </w:pPr>
            <w:r>
              <w:rPr>
                <w:rFonts w:hint="eastAsia" w:ascii="宋体" w:hAnsi="宋体" w:cs="宋体"/>
                <w:kern w:val="0"/>
                <w:szCs w:val="21"/>
              </w:rPr>
              <w:t>C级</w:t>
            </w:r>
          </w:p>
        </w:tc>
        <w:tc>
          <w:tcPr>
            <w:tcW w:w="2250" w:type="dxa"/>
            <w:vAlign w:val="center"/>
          </w:tcPr>
          <w:p>
            <w:pPr>
              <w:adjustRightInd w:val="0"/>
              <w:snapToGrid w:val="0"/>
              <w:spacing w:line="560" w:lineRule="exact"/>
              <w:jc w:val="center"/>
              <w:rPr>
                <w:rFonts w:ascii="宋体" w:hAnsi="宋体" w:cs="宋体"/>
                <w:kern w:val="0"/>
                <w:szCs w:val="21"/>
              </w:rPr>
            </w:pPr>
            <w:r>
              <w:rPr>
                <w:rFonts w:hint="eastAsia" w:ascii="宋体" w:hAnsi="宋体" w:cs="宋体"/>
                <w:kern w:val="0"/>
                <w:szCs w:val="21"/>
              </w:rPr>
              <w:t>C+级</w:t>
            </w:r>
          </w:p>
        </w:tc>
        <w:tc>
          <w:tcPr>
            <w:tcW w:w="3030" w:type="dxa"/>
            <w:vAlign w:val="center"/>
          </w:tcPr>
          <w:p>
            <w:pPr>
              <w:adjustRightInd w:val="0"/>
              <w:snapToGrid w:val="0"/>
              <w:spacing w:line="560" w:lineRule="exact"/>
              <w:jc w:val="center"/>
              <w:rPr>
                <w:rFonts w:ascii="宋体" w:hAnsi="宋体" w:cs="宋体"/>
                <w:kern w:val="0"/>
                <w:szCs w:val="21"/>
              </w:rPr>
            </w:pPr>
            <w:r>
              <w:rPr>
                <w:rFonts w:hint="eastAsia" w:ascii="宋体" w:hAnsi="宋体" w:cs="宋体"/>
                <w:kern w:val="0"/>
                <w:szCs w:val="21"/>
              </w:rPr>
              <w:t>70分（含）-80分（不含）</w:t>
            </w:r>
          </w:p>
        </w:tc>
        <w:tc>
          <w:tcPr>
            <w:tcW w:w="2616" w:type="dxa"/>
            <w:vAlign w:val="center"/>
          </w:tcPr>
          <w:p>
            <w:pPr>
              <w:adjustRightInd w:val="0"/>
              <w:snapToGrid w:val="0"/>
              <w:spacing w:line="560" w:lineRule="exact"/>
              <w:jc w:val="center"/>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1281" w:type="dxa"/>
            <w:vMerge w:val="continue"/>
            <w:vAlign w:val="center"/>
          </w:tcPr>
          <w:p>
            <w:pPr>
              <w:adjustRightInd w:val="0"/>
              <w:snapToGrid w:val="0"/>
              <w:spacing w:line="560" w:lineRule="exact"/>
              <w:jc w:val="left"/>
              <w:rPr>
                <w:rFonts w:ascii="宋体" w:hAnsi="宋体" w:cs="宋体"/>
                <w:kern w:val="0"/>
                <w:szCs w:val="21"/>
              </w:rPr>
            </w:pPr>
          </w:p>
        </w:tc>
        <w:tc>
          <w:tcPr>
            <w:tcW w:w="2250" w:type="dxa"/>
            <w:vAlign w:val="center"/>
          </w:tcPr>
          <w:p>
            <w:pPr>
              <w:adjustRightInd w:val="0"/>
              <w:snapToGrid w:val="0"/>
              <w:spacing w:line="560" w:lineRule="exact"/>
              <w:jc w:val="center"/>
              <w:rPr>
                <w:rFonts w:ascii="宋体" w:hAnsi="宋体" w:cs="宋体"/>
                <w:kern w:val="0"/>
                <w:szCs w:val="21"/>
              </w:rPr>
            </w:pPr>
            <w:r>
              <w:rPr>
                <w:rFonts w:hint="eastAsia" w:ascii="宋体" w:hAnsi="宋体" w:cs="宋体"/>
                <w:kern w:val="0"/>
                <w:szCs w:val="21"/>
              </w:rPr>
              <w:t>C级</w:t>
            </w:r>
          </w:p>
        </w:tc>
        <w:tc>
          <w:tcPr>
            <w:tcW w:w="3030" w:type="dxa"/>
            <w:vAlign w:val="center"/>
          </w:tcPr>
          <w:p>
            <w:pPr>
              <w:adjustRightInd w:val="0"/>
              <w:snapToGrid w:val="0"/>
              <w:spacing w:line="560" w:lineRule="exact"/>
              <w:jc w:val="center"/>
              <w:rPr>
                <w:rFonts w:ascii="宋体" w:hAnsi="宋体" w:cs="宋体"/>
                <w:kern w:val="0"/>
                <w:szCs w:val="21"/>
              </w:rPr>
            </w:pPr>
            <w:r>
              <w:rPr>
                <w:rFonts w:hint="eastAsia" w:ascii="宋体" w:hAnsi="宋体" w:cs="宋体"/>
                <w:kern w:val="0"/>
                <w:szCs w:val="21"/>
              </w:rPr>
              <w:t>60分（含）-70分（不含）</w:t>
            </w:r>
          </w:p>
        </w:tc>
        <w:tc>
          <w:tcPr>
            <w:tcW w:w="2616" w:type="dxa"/>
            <w:vAlign w:val="center"/>
          </w:tcPr>
          <w:p>
            <w:pPr>
              <w:adjustRightInd w:val="0"/>
              <w:snapToGrid w:val="0"/>
              <w:spacing w:line="560" w:lineRule="exact"/>
              <w:jc w:val="center"/>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1281" w:type="dxa"/>
            <w:vMerge w:val="continue"/>
            <w:vAlign w:val="center"/>
          </w:tcPr>
          <w:p>
            <w:pPr>
              <w:adjustRightInd w:val="0"/>
              <w:snapToGrid w:val="0"/>
              <w:spacing w:line="560" w:lineRule="exact"/>
              <w:jc w:val="left"/>
              <w:rPr>
                <w:rFonts w:ascii="宋体" w:hAnsi="宋体" w:cs="宋体"/>
                <w:kern w:val="0"/>
                <w:szCs w:val="21"/>
              </w:rPr>
            </w:pPr>
          </w:p>
        </w:tc>
        <w:tc>
          <w:tcPr>
            <w:tcW w:w="2250" w:type="dxa"/>
            <w:vAlign w:val="center"/>
          </w:tcPr>
          <w:p>
            <w:pPr>
              <w:adjustRightInd w:val="0"/>
              <w:snapToGrid w:val="0"/>
              <w:spacing w:line="560" w:lineRule="exact"/>
              <w:jc w:val="center"/>
              <w:rPr>
                <w:rFonts w:ascii="宋体" w:hAnsi="宋体" w:cs="宋体"/>
                <w:kern w:val="0"/>
                <w:szCs w:val="21"/>
              </w:rPr>
            </w:pPr>
            <w:r>
              <w:rPr>
                <w:rFonts w:hint="eastAsia" w:ascii="宋体" w:hAnsi="宋体" w:cs="宋体"/>
                <w:kern w:val="0"/>
                <w:szCs w:val="21"/>
              </w:rPr>
              <w:t>C-级</w:t>
            </w:r>
          </w:p>
        </w:tc>
        <w:tc>
          <w:tcPr>
            <w:tcW w:w="3030" w:type="dxa"/>
            <w:vAlign w:val="center"/>
          </w:tcPr>
          <w:p>
            <w:pPr>
              <w:adjustRightInd w:val="0"/>
              <w:snapToGrid w:val="0"/>
              <w:spacing w:line="560" w:lineRule="exact"/>
              <w:jc w:val="center"/>
              <w:rPr>
                <w:rFonts w:ascii="宋体" w:hAnsi="宋体" w:cs="宋体"/>
                <w:kern w:val="0"/>
                <w:szCs w:val="21"/>
              </w:rPr>
            </w:pPr>
            <w:r>
              <w:rPr>
                <w:rFonts w:hint="eastAsia" w:ascii="宋体" w:hAnsi="宋体" w:cs="宋体"/>
                <w:kern w:val="0"/>
                <w:szCs w:val="21"/>
              </w:rPr>
              <w:t>50分（含）</w:t>
            </w:r>
            <w:r>
              <w:rPr>
                <w:rFonts w:ascii="宋体" w:hAnsi="宋体" w:cs="宋体"/>
                <w:kern w:val="0"/>
                <w:szCs w:val="21"/>
              </w:rPr>
              <w:t>-</w:t>
            </w:r>
            <w:r>
              <w:rPr>
                <w:rFonts w:hint="eastAsia" w:ascii="宋体" w:hAnsi="宋体" w:cs="宋体"/>
                <w:kern w:val="0"/>
                <w:szCs w:val="21"/>
              </w:rPr>
              <w:t>60分（不含）</w:t>
            </w:r>
          </w:p>
        </w:tc>
        <w:tc>
          <w:tcPr>
            <w:tcW w:w="2616" w:type="dxa"/>
            <w:vAlign w:val="center"/>
          </w:tcPr>
          <w:p>
            <w:pPr>
              <w:adjustRightInd w:val="0"/>
              <w:snapToGrid w:val="0"/>
              <w:spacing w:line="560" w:lineRule="exact"/>
              <w:jc w:val="center"/>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3531" w:type="dxa"/>
            <w:gridSpan w:val="2"/>
            <w:vAlign w:val="center"/>
          </w:tcPr>
          <w:p>
            <w:pPr>
              <w:adjustRightInd w:val="0"/>
              <w:snapToGrid w:val="0"/>
              <w:spacing w:line="560" w:lineRule="exact"/>
              <w:jc w:val="center"/>
              <w:rPr>
                <w:rFonts w:ascii="宋体" w:hAnsi="宋体" w:cs="宋体"/>
                <w:kern w:val="0"/>
                <w:szCs w:val="21"/>
              </w:rPr>
            </w:pPr>
            <w:r>
              <w:rPr>
                <w:rFonts w:hint="eastAsia" w:ascii="宋体" w:hAnsi="宋体" w:cs="宋体"/>
                <w:kern w:val="0"/>
                <w:szCs w:val="21"/>
              </w:rPr>
              <w:t>D级</w:t>
            </w:r>
          </w:p>
        </w:tc>
        <w:tc>
          <w:tcPr>
            <w:tcW w:w="3030" w:type="dxa"/>
            <w:vAlign w:val="center"/>
          </w:tcPr>
          <w:p>
            <w:pPr>
              <w:adjustRightInd w:val="0"/>
              <w:snapToGrid w:val="0"/>
              <w:spacing w:line="560" w:lineRule="exact"/>
              <w:jc w:val="center"/>
              <w:rPr>
                <w:rFonts w:ascii="宋体" w:hAnsi="宋体" w:cs="宋体"/>
                <w:kern w:val="0"/>
                <w:szCs w:val="21"/>
              </w:rPr>
            </w:pPr>
            <w:r>
              <w:rPr>
                <w:rFonts w:hint="eastAsia" w:ascii="宋体" w:hAnsi="宋体" w:cs="宋体"/>
                <w:kern w:val="0"/>
                <w:szCs w:val="21"/>
              </w:rPr>
              <w:t>0分（含）</w:t>
            </w:r>
            <w:r>
              <w:rPr>
                <w:rFonts w:ascii="宋体" w:hAnsi="宋体" w:cs="宋体"/>
                <w:kern w:val="0"/>
                <w:szCs w:val="21"/>
              </w:rPr>
              <w:t>-</w:t>
            </w:r>
            <w:r>
              <w:rPr>
                <w:rFonts w:hint="eastAsia" w:ascii="宋体" w:hAnsi="宋体" w:cs="宋体"/>
                <w:kern w:val="0"/>
                <w:szCs w:val="21"/>
              </w:rPr>
              <w:t>50分（不含）</w:t>
            </w:r>
          </w:p>
        </w:tc>
        <w:tc>
          <w:tcPr>
            <w:tcW w:w="2616" w:type="dxa"/>
            <w:vAlign w:val="center"/>
          </w:tcPr>
          <w:p>
            <w:pPr>
              <w:adjustRightInd w:val="0"/>
              <w:snapToGrid w:val="0"/>
              <w:spacing w:line="560" w:lineRule="exact"/>
              <w:jc w:val="center"/>
              <w:rPr>
                <w:rFonts w:ascii="宋体" w:hAnsi="宋体" w:eastAsia="宋体" w:cs="宋体"/>
                <w:kern w:val="0"/>
                <w:szCs w:val="21"/>
              </w:rPr>
            </w:pPr>
          </w:p>
        </w:tc>
      </w:tr>
    </w:tbl>
    <w:p>
      <w:pPr>
        <w:pStyle w:val="12"/>
        <w:spacing w:line="560" w:lineRule="exact"/>
        <w:ind w:firstLine="640" w:firstLineChars="200"/>
        <w:rPr>
          <w:rFonts w:ascii="黑体" w:hAnsi="黑体" w:eastAsia="黑体" w:cs="黑体"/>
          <w:color w:val="000000" w:themeColor="text1"/>
          <w:kern w:val="0"/>
          <w:sz w:val="32"/>
          <w:szCs w:val="32"/>
        </w:rPr>
      </w:pPr>
      <w:r>
        <w:rPr>
          <w:rFonts w:hint="eastAsia" w:ascii="仿宋_GB2312" w:hAnsi="Times New Roman" w:eastAsia="仿宋_GB2312" w:cs="Times New Roman"/>
          <w:b/>
          <w:bCs/>
          <w:sz w:val="32"/>
          <w:szCs w:val="32"/>
        </w:rPr>
        <w:t>第八条</w:t>
      </w:r>
      <w:r>
        <w:rPr>
          <w:rFonts w:hint="eastAsia" w:ascii="仿宋_GB2312" w:hAnsi="Times New Roman" w:eastAsia="仿宋_GB2312" w:cs="Times New Roman"/>
          <w:sz w:val="32"/>
          <w:szCs w:val="32"/>
        </w:rPr>
        <w:t xml:space="preserve">  </w:t>
      </w:r>
      <w:r>
        <w:rPr>
          <w:rFonts w:hint="eastAsia" w:ascii="仿宋_GB2312" w:eastAsia="仿宋_GB2312"/>
          <w:bCs/>
          <w:color w:val="000000" w:themeColor="text1"/>
          <w:sz w:val="32"/>
          <w:szCs w:val="32"/>
        </w:rPr>
        <w:t>市住房和城乡建设主管部门负责建立全市统一的住宅项目物业服务信用等级评估制度，指导区</w:t>
      </w:r>
      <w:r>
        <w:rPr>
          <w:rFonts w:hint="eastAsia" w:ascii="仿宋_GB2312" w:eastAsia="仿宋_GB2312" w:hAnsiTheme="minorHAnsi"/>
          <w:bCs/>
          <w:color w:val="000000" w:themeColor="text1"/>
          <w:sz w:val="32"/>
          <w:szCs w:val="32"/>
        </w:rPr>
        <w:t>住</w:t>
      </w:r>
      <w:r>
        <w:rPr>
          <w:rFonts w:hint="eastAsia" w:ascii="仿宋_GB2312" w:eastAsia="仿宋_GB2312"/>
          <w:bCs/>
          <w:color w:val="000000" w:themeColor="text1"/>
          <w:sz w:val="32"/>
          <w:szCs w:val="32"/>
        </w:rPr>
        <w:t>房和城乡</w:t>
      </w:r>
      <w:r>
        <w:rPr>
          <w:rFonts w:hint="eastAsia" w:ascii="仿宋_GB2312" w:eastAsia="仿宋_GB2312" w:hAnsiTheme="minorHAnsi"/>
          <w:bCs/>
          <w:color w:val="000000" w:themeColor="text1"/>
          <w:sz w:val="32"/>
          <w:szCs w:val="32"/>
        </w:rPr>
        <w:t>建</w:t>
      </w:r>
      <w:r>
        <w:rPr>
          <w:rFonts w:hint="eastAsia" w:ascii="仿宋_GB2312" w:eastAsia="仿宋_GB2312"/>
          <w:bCs/>
          <w:color w:val="000000" w:themeColor="text1"/>
          <w:sz w:val="32"/>
          <w:szCs w:val="32"/>
        </w:rPr>
        <w:t>设或者</w:t>
      </w:r>
      <w:r>
        <w:rPr>
          <w:rFonts w:hint="eastAsia" w:ascii="仿宋_GB2312" w:eastAsia="仿宋_GB2312" w:hAnsiTheme="minorHAnsi"/>
          <w:bCs/>
          <w:color w:val="000000" w:themeColor="text1"/>
          <w:sz w:val="32"/>
          <w:szCs w:val="32"/>
        </w:rPr>
        <w:t>房屋</w:t>
      </w:r>
      <w:r>
        <w:rPr>
          <w:rFonts w:hint="eastAsia" w:ascii="仿宋_GB2312" w:eastAsia="仿宋_GB2312"/>
          <w:bCs/>
          <w:color w:val="000000" w:themeColor="text1"/>
          <w:sz w:val="32"/>
          <w:szCs w:val="32"/>
        </w:rPr>
        <w:t>主管</w:t>
      </w:r>
      <w:r>
        <w:rPr>
          <w:rFonts w:hint="eastAsia" w:ascii="仿宋_GB2312" w:eastAsia="仿宋_GB2312" w:hAnsiTheme="minorHAnsi"/>
          <w:bCs/>
          <w:color w:val="000000" w:themeColor="text1"/>
          <w:sz w:val="32"/>
          <w:szCs w:val="32"/>
        </w:rPr>
        <w:t>部门</w:t>
      </w:r>
      <w:r>
        <w:rPr>
          <w:rFonts w:hint="eastAsia" w:ascii="仿宋_GB2312" w:eastAsia="仿宋_GB2312"/>
          <w:bCs/>
          <w:color w:val="000000" w:themeColor="text1"/>
          <w:sz w:val="32"/>
          <w:szCs w:val="32"/>
        </w:rPr>
        <w:t>开展信用评估工作。</w:t>
      </w:r>
      <w:r>
        <w:rPr>
          <w:rFonts w:hint="eastAsia" w:ascii="仿宋_GB2312" w:eastAsia="仿宋_GB2312" w:hAnsiTheme="minorHAnsi"/>
          <w:bCs/>
          <w:color w:val="000000" w:themeColor="text1"/>
          <w:sz w:val="32"/>
          <w:szCs w:val="32"/>
        </w:rPr>
        <w:t>区住</w:t>
      </w:r>
      <w:r>
        <w:rPr>
          <w:rFonts w:hint="eastAsia" w:ascii="仿宋_GB2312" w:eastAsia="仿宋_GB2312"/>
          <w:bCs/>
          <w:color w:val="000000" w:themeColor="text1"/>
          <w:sz w:val="32"/>
          <w:szCs w:val="32"/>
        </w:rPr>
        <w:t>房和城乡</w:t>
      </w:r>
      <w:r>
        <w:rPr>
          <w:rFonts w:hint="eastAsia" w:ascii="仿宋_GB2312" w:eastAsia="仿宋_GB2312" w:hAnsiTheme="minorHAnsi"/>
          <w:bCs/>
          <w:color w:val="000000" w:themeColor="text1"/>
          <w:sz w:val="32"/>
          <w:szCs w:val="32"/>
        </w:rPr>
        <w:t>建</w:t>
      </w:r>
      <w:r>
        <w:rPr>
          <w:rFonts w:hint="eastAsia" w:ascii="仿宋_GB2312" w:eastAsia="仿宋_GB2312"/>
          <w:bCs/>
          <w:color w:val="000000" w:themeColor="text1"/>
          <w:sz w:val="32"/>
          <w:szCs w:val="32"/>
        </w:rPr>
        <w:t>设或者</w:t>
      </w:r>
      <w:r>
        <w:rPr>
          <w:rFonts w:hint="eastAsia" w:ascii="仿宋_GB2312" w:eastAsia="仿宋_GB2312" w:hAnsiTheme="minorHAnsi"/>
          <w:bCs/>
          <w:color w:val="000000" w:themeColor="text1"/>
          <w:sz w:val="32"/>
          <w:szCs w:val="32"/>
        </w:rPr>
        <w:t>房屋</w:t>
      </w:r>
      <w:r>
        <w:rPr>
          <w:rFonts w:hint="eastAsia" w:ascii="仿宋_GB2312" w:eastAsia="仿宋_GB2312"/>
          <w:bCs/>
          <w:color w:val="000000" w:themeColor="text1"/>
          <w:sz w:val="32"/>
          <w:szCs w:val="32"/>
        </w:rPr>
        <w:t>主管</w:t>
      </w:r>
      <w:r>
        <w:rPr>
          <w:rFonts w:hint="eastAsia" w:ascii="仿宋_GB2312" w:eastAsia="仿宋_GB2312" w:hAnsiTheme="minorHAnsi"/>
          <w:bCs/>
          <w:color w:val="000000" w:themeColor="text1"/>
          <w:sz w:val="32"/>
          <w:szCs w:val="32"/>
        </w:rPr>
        <w:t>部门负责负责</w:t>
      </w:r>
      <w:r>
        <w:rPr>
          <w:rFonts w:hint="eastAsia" w:ascii="仿宋_GB2312" w:eastAsia="仿宋_GB2312"/>
          <w:bCs/>
          <w:color w:val="000000" w:themeColor="text1"/>
          <w:sz w:val="32"/>
          <w:szCs w:val="32"/>
        </w:rPr>
        <w:t>指导街道办事处、乡镇人民政府，</w:t>
      </w:r>
      <w:r>
        <w:rPr>
          <w:rFonts w:hint="eastAsia" w:ascii="仿宋_GB2312" w:eastAsia="仿宋_GB2312" w:hAnsiTheme="minorHAnsi"/>
          <w:bCs/>
          <w:color w:val="000000" w:themeColor="text1"/>
          <w:sz w:val="32"/>
          <w:szCs w:val="32"/>
        </w:rPr>
        <w:t>对</w:t>
      </w:r>
      <w:r>
        <w:rPr>
          <w:rFonts w:hint="eastAsia" w:ascii="仿宋_GB2312" w:eastAsia="仿宋_GB2312"/>
          <w:bCs/>
          <w:color w:val="000000" w:themeColor="text1"/>
          <w:sz w:val="32"/>
          <w:szCs w:val="32"/>
        </w:rPr>
        <w:t>本</w:t>
      </w:r>
      <w:r>
        <w:rPr>
          <w:rFonts w:hint="eastAsia" w:ascii="仿宋_GB2312" w:eastAsia="仿宋_GB2312" w:hAnsiTheme="minorHAnsi"/>
          <w:bCs/>
          <w:color w:val="000000" w:themeColor="text1"/>
          <w:sz w:val="32"/>
          <w:szCs w:val="32"/>
        </w:rPr>
        <w:t>辖区住宅项目物业服务</w:t>
      </w:r>
      <w:r>
        <w:rPr>
          <w:rFonts w:hint="eastAsia" w:ascii="仿宋_GB2312" w:eastAsia="仿宋_GB2312"/>
          <w:bCs/>
          <w:color w:val="000000" w:themeColor="text1"/>
          <w:sz w:val="32"/>
          <w:szCs w:val="32"/>
        </w:rPr>
        <w:t>进行信用</w:t>
      </w:r>
      <w:r>
        <w:rPr>
          <w:rFonts w:hint="eastAsia" w:ascii="仿宋_GB2312" w:eastAsia="仿宋_GB2312" w:hAnsiTheme="minorHAnsi"/>
          <w:bCs/>
          <w:color w:val="000000" w:themeColor="text1"/>
          <w:sz w:val="32"/>
          <w:szCs w:val="32"/>
        </w:rPr>
        <w:t>等级评估，</w:t>
      </w:r>
      <w:r>
        <w:rPr>
          <w:rFonts w:hint="eastAsia" w:ascii="仿宋_GB2312" w:eastAsia="仿宋_GB2312"/>
          <w:bCs/>
          <w:color w:val="000000" w:themeColor="text1"/>
          <w:sz w:val="32"/>
          <w:szCs w:val="32"/>
        </w:rPr>
        <w:t>建立风险等级评估档案台帐。街道办事处、乡镇人民政府负责本辖区住宅项目物业服务日常监管检查，及时归集信用信息，具体组织信用等级评估工作。住宅项目物业服务信用等级评估实行动态管理，以一年为一个周期，更新信用等级评估档案台帐。</w:t>
      </w:r>
    </w:p>
    <w:p>
      <w:pPr>
        <w:autoSpaceDE w:val="0"/>
        <w:autoSpaceDN w:val="0"/>
        <w:adjustRightInd w:val="0"/>
        <w:spacing w:line="560" w:lineRule="exact"/>
        <w:ind w:firstLine="640" w:firstLineChars="200"/>
        <w:rPr>
          <w:rFonts w:ascii="仿宋_GB2312" w:hAnsi="仿宋_GB2312" w:eastAsia="仿宋_GB2312" w:cs="仿宋_GB2312"/>
          <w:color w:val="000000" w:themeColor="text1"/>
          <w:sz w:val="32"/>
          <w:szCs w:val="32"/>
        </w:rPr>
      </w:pPr>
    </w:p>
    <w:p>
      <w:pPr>
        <w:autoSpaceDE w:val="0"/>
        <w:autoSpaceDN w:val="0"/>
        <w:adjustRightInd w:val="0"/>
        <w:spacing w:line="560" w:lineRule="exact"/>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附件3</w:t>
      </w:r>
    </w:p>
    <w:p>
      <w:pPr>
        <w:pStyle w:val="12"/>
        <w:spacing w:line="560" w:lineRule="exact"/>
        <w:rPr>
          <w:rFonts w:ascii="黑体" w:hAnsi="黑体" w:eastAsia="黑体" w:cs="黑体"/>
          <w:bCs/>
          <w:color w:val="000000"/>
          <w:kern w:val="0"/>
          <w:sz w:val="32"/>
          <w:szCs w:val="32"/>
        </w:rPr>
      </w:pPr>
    </w:p>
    <w:p>
      <w:pPr>
        <w:pStyle w:val="12"/>
        <w:spacing w:line="560" w:lineRule="exact"/>
        <w:jc w:val="center"/>
        <w:rPr>
          <w:rFonts w:ascii="黑体" w:hAnsi="黑体" w:eastAsia="黑体" w:cs="黑体"/>
          <w:bCs/>
          <w:color w:val="000000"/>
          <w:kern w:val="0"/>
          <w:sz w:val="32"/>
          <w:szCs w:val="32"/>
        </w:rPr>
      </w:pPr>
      <w:r>
        <w:rPr>
          <w:rFonts w:hint="eastAsia" w:ascii="方正小标宋简体" w:hAnsi="方正小标宋简体" w:eastAsia="方正小标宋简体" w:cs="方正小标宋简体"/>
          <w:bCs/>
          <w:color w:val="000000"/>
          <w:kern w:val="0"/>
          <w:sz w:val="44"/>
          <w:szCs w:val="44"/>
        </w:rPr>
        <w:t>住宅项目物业服务综合监管分类分级监管制度</w:t>
      </w:r>
    </w:p>
    <w:p>
      <w:pPr>
        <w:autoSpaceDE w:val="0"/>
        <w:autoSpaceDN w:val="0"/>
        <w:adjustRightInd w:val="0"/>
        <w:spacing w:line="560" w:lineRule="exact"/>
        <w:rPr>
          <w:rFonts w:ascii="黑体" w:hAnsi="黑体" w:eastAsia="黑体" w:cs="黑体"/>
          <w:kern w:val="0"/>
          <w:sz w:val="32"/>
          <w:szCs w:val="32"/>
        </w:rPr>
      </w:pPr>
    </w:p>
    <w:p>
      <w:pPr>
        <w:autoSpaceDE w:val="0"/>
        <w:autoSpaceDN w:val="0"/>
        <w:adjustRightInd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第一条</w:t>
      </w:r>
      <w:r>
        <w:rPr>
          <w:rFonts w:hint="eastAsia" w:ascii="仿宋_GB2312" w:hAnsi="仿宋_GB2312" w:eastAsia="仿宋_GB2312" w:cs="仿宋_GB2312"/>
          <w:kern w:val="0"/>
          <w:sz w:val="32"/>
          <w:szCs w:val="32"/>
        </w:rPr>
        <w:t xml:space="preserve">  为推进社会信用体系建设制度化，规范住宅项目物业服务信用行为，创新监管方式，实现住宅项目物业服务精准差异化监管，特制定本制度。</w:t>
      </w:r>
    </w:p>
    <w:p>
      <w:pPr>
        <w:pStyle w:val="12"/>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第二条</w:t>
      </w:r>
      <w:r>
        <w:rPr>
          <w:rFonts w:hint="eastAsia" w:ascii="仿宋_GB2312" w:hAnsi="仿宋_GB2312" w:eastAsia="仿宋_GB2312" w:cs="仿宋_GB2312"/>
          <w:kern w:val="0"/>
          <w:sz w:val="32"/>
          <w:szCs w:val="32"/>
        </w:rPr>
        <w:t xml:space="preserve">  </w:t>
      </w:r>
      <w:r>
        <w:rPr>
          <w:rFonts w:hint="eastAsia" w:ascii="仿宋_GB2312" w:eastAsia="仿宋_GB2312"/>
          <w:sz w:val="32"/>
          <w:szCs w:val="32"/>
        </w:rPr>
        <w:t>统筹风险评估与信用评估两个维度，</w:t>
      </w:r>
      <w:r>
        <w:rPr>
          <w:rFonts w:hint="eastAsia" w:ascii="仿宋_GB2312" w:hAnsi="仿宋_GB2312" w:eastAsia="仿宋_GB2312" w:cs="仿宋_GB2312"/>
          <w:kern w:val="0"/>
          <w:sz w:val="32"/>
          <w:szCs w:val="32"/>
        </w:rPr>
        <w:t>根据住宅项目物业服务风险等级和信用等级评价结果，实施基于“风险+信用”的分类分级监管制度。</w:t>
      </w:r>
    </w:p>
    <w:p>
      <w:pPr>
        <w:pStyle w:val="12"/>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第三条</w:t>
      </w:r>
      <w:r>
        <w:rPr>
          <w:rFonts w:hint="eastAsia" w:ascii="仿宋_GB2312" w:hAnsi="仿宋_GB2312" w:eastAsia="仿宋_GB2312" w:cs="仿宋_GB2312"/>
          <w:kern w:val="0"/>
          <w:sz w:val="32"/>
          <w:szCs w:val="32"/>
        </w:rPr>
        <w:t xml:space="preserve">  分类分级监管等级由高至低分为</w:t>
      </w:r>
      <w:r>
        <w:rPr>
          <w:rFonts w:hint="eastAsia" w:ascii="仿宋_GB2312" w:eastAsia="仿宋_GB2312"/>
          <w:sz w:val="32"/>
          <w:szCs w:val="32"/>
        </w:rPr>
        <w:t>A、B、C、D四个等级，具体标准如下。</w:t>
      </w:r>
    </w:p>
    <w:tbl>
      <w:tblPr>
        <w:tblStyle w:val="26"/>
        <w:tblW w:w="95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9"/>
        <w:gridCol w:w="1824"/>
        <w:gridCol w:w="2031"/>
        <w:gridCol w:w="2031"/>
        <w:gridCol w:w="1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9578" w:type="dxa"/>
            <w:gridSpan w:val="5"/>
            <w:vAlign w:val="center"/>
          </w:tcPr>
          <w:p>
            <w:pPr>
              <w:adjustRightInd w:val="0"/>
              <w:snapToGrid w:val="0"/>
              <w:spacing w:line="400" w:lineRule="exact"/>
              <w:jc w:val="center"/>
              <w:rPr>
                <w:rFonts w:ascii="宋体" w:hAnsi="宋体" w:cs="宋体"/>
                <w:bCs/>
                <w:kern w:val="0"/>
                <w:szCs w:val="21"/>
              </w:rPr>
            </w:pPr>
            <w:r>
              <w:rPr>
                <w:rFonts w:hint="eastAsia" w:ascii="仿宋_GB2312" w:eastAsia="仿宋_GB2312"/>
                <w:b/>
                <w:sz w:val="32"/>
                <w:szCs w:val="32"/>
              </w:rPr>
              <w:t>分类分级监管等级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jc w:val="center"/>
        </w:trPr>
        <w:tc>
          <w:tcPr>
            <w:tcW w:w="1769" w:type="dxa"/>
            <w:tcBorders>
              <w:tl2br w:val="single" w:color="auto" w:sz="4" w:space="0"/>
            </w:tcBorders>
            <w:vAlign w:val="center"/>
          </w:tcPr>
          <w:p>
            <w:pPr>
              <w:adjustRightInd w:val="0"/>
              <w:snapToGrid w:val="0"/>
              <w:spacing w:line="400" w:lineRule="exact"/>
              <w:jc w:val="right"/>
              <w:rPr>
                <w:rFonts w:ascii="宋体" w:hAnsi="宋体" w:cs="宋体"/>
                <w:b/>
                <w:kern w:val="0"/>
                <w:sz w:val="24"/>
                <w:szCs w:val="24"/>
              </w:rPr>
            </w:pPr>
            <w:r>
              <w:rPr>
                <w:rFonts w:hint="eastAsia" w:ascii="宋体" w:hAnsi="宋体" w:cs="宋体"/>
                <w:b/>
                <w:kern w:val="0"/>
                <w:sz w:val="24"/>
                <w:szCs w:val="24"/>
              </w:rPr>
              <w:t>风险等级</w:t>
            </w:r>
          </w:p>
          <w:p>
            <w:pPr>
              <w:adjustRightInd w:val="0"/>
              <w:snapToGrid w:val="0"/>
              <w:spacing w:line="400" w:lineRule="exact"/>
              <w:rPr>
                <w:rFonts w:ascii="宋体" w:hAnsi="宋体" w:cs="宋体"/>
                <w:b/>
                <w:kern w:val="0"/>
                <w:sz w:val="24"/>
                <w:szCs w:val="24"/>
              </w:rPr>
            </w:pPr>
          </w:p>
          <w:p>
            <w:pPr>
              <w:adjustRightInd w:val="0"/>
              <w:snapToGrid w:val="0"/>
              <w:spacing w:line="400" w:lineRule="exact"/>
              <w:rPr>
                <w:rFonts w:ascii="宋体" w:hAnsi="宋体" w:cs="宋体"/>
                <w:b/>
                <w:kern w:val="0"/>
                <w:sz w:val="24"/>
                <w:szCs w:val="24"/>
              </w:rPr>
            </w:pPr>
            <w:r>
              <w:rPr>
                <w:rFonts w:hint="eastAsia" w:ascii="宋体" w:hAnsi="宋体" w:cs="宋体"/>
                <w:b/>
                <w:kern w:val="0"/>
                <w:sz w:val="24"/>
                <w:szCs w:val="24"/>
              </w:rPr>
              <w:t>信用等级</w:t>
            </w:r>
          </w:p>
        </w:tc>
        <w:tc>
          <w:tcPr>
            <w:tcW w:w="1824" w:type="dxa"/>
            <w:vAlign w:val="center"/>
          </w:tcPr>
          <w:p>
            <w:pPr>
              <w:adjustRightInd w:val="0"/>
              <w:snapToGrid w:val="0"/>
              <w:spacing w:line="400" w:lineRule="exact"/>
              <w:jc w:val="center"/>
              <w:rPr>
                <w:rFonts w:ascii="宋体" w:hAnsi="宋体" w:cs="宋体"/>
                <w:bCs/>
                <w:kern w:val="0"/>
                <w:sz w:val="24"/>
                <w:szCs w:val="24"/>
              </w:rPr>
            </w:pPr>
            <w:r>
              <w:rPr>
                <w:rFonts w:hint="eastAsia" w:ascii="宋体" w:hAnsi="宋体" w:cs="宋体"/>
                <w:bCs/>
                <w:kern w:val="0"/>
                <w:sz w:val="24"/>
                <w:szCs w:val="24"/>
              </w:rPr>
              <w:t>A</w:t>
            </w:r>
          </w:p>
          <w:p>
            <w:pPr>
              <w:adjustRightInd w:val="0"/>
              <w:snapToGrid w:val="0"/>
              <w:spacing w:line="400" w:lineRule="exact"/>
              <w:jc w:val="center"/>
              <w:rPr>
                <w:rFonts w:ascii="宋体" w:hAnsi="宋体" w:cs="宋体"/>
                <w:bCs/>
                <w:kern w:val="0"/>
                <w:sz w:val="24"/>
                <w:szCs w:val="24"/>
              </w:rPr>
            </w:pPr>
            <w:r>
              <w:rPr>
                <w:rFonts w:hint="eastAsia" w:ascii="宋体" w:hAnsi="宋体" w:cs="宋体"/>
                <w:bCs/>
                <w:kern w:val="0"/>
                <w:sz w:val="24"/>
                <w:szCs w:val="24"/>
              </w:rPr>
              <w:t>（低风险）</w:t>
            </w:r>
          </w:p>
        </w:tc>
        <w:tc>
          <w:tcPr>
            <w:tcW w:w="2031" w:type="dxa"/>
            <w:vAlign w:val="center"/>
          </w:tcPr>
          <w:p>
            <w:pPr>
              <w:adjustRightInd w:val="0"/>
              <w:snapToGrid w:val="0"/>
              <w:spacing w:line="400" w:lineRule="exact"/>
              <w:jc w:val="center"/>
              <w:rPr>
                <w:rFonts w:ascii="宋体" w:hAnsi="宋体" w:cs="宋体"/>
                <w:bCs/>
                <w:kern w:val="0"/>
                <w:sz w:val="24"/>
                <w:szCs w:val="24"/>
              </w:rPr>
            </w:pPr>
            <w:r>
              <w:rPr>
                <w:rFonts w:hint="eastAsia" w:ascii="宋体" w:hAnsi="宋体" w:cs="宋体"/>
                <w:bCs/>
                <w:kern w:val="0"/>
                <w:sz w:val="24"/>
                <w:szCs w:val="24"/>
              </w:rPr>
              <w:t>B</w:t>
            </w:r>
          </w:p>
        </w:tc>
        <w:tc>
          <w:tcPr>
            <w:tcW w:w="2031" w:type="dxa"/>
            <w:vAlign w:val="center"/>
          </w:tcPr>
          <w:p>
            <w:pPr>
              <w:adjustRightInd w:val="0"/>
              <w:snapToGrid w:val="0"/>
              <w:spacing w:line="400" w:lineRule="exact"/>
              <w:jc w:val="center"/>
              <w:rPr>
                <w:rFonts w:ascii="宋体" w:hAnsi="宋体" w:cs="宋体"/>
                <w:bCs/>
                <w:kern w:val="0"/>
                <w:sz w:val="24"/>
                <w:szCs w:val="24"/>
              </w:rPr>
            </w:pPr>
            <w:r>
              <w:rPr>
                <w:rFonts w:hint="eastAsia" w:ascii="宋体" w:hAnsi="宋体" w:cs="宋体"/>
                <w:bCs/>
                <w:kern w:val="0"/>
                <w:sz w:val="24"/>
                <w:szCs w:val="24"/>
              </w:rPr>
              <w:t>C</w:t>
            </w:r>
          </w:p>
        </w:tc>
        <w:tc>
          <w:tcPr>
            <w:tcW w:w="1923" w:type="dxa"/>
            <w:vAlign w:val="center"/>
          </w:tcPr>
          <w:p>
            <w:pPr>
              <w:adjustRightInd w:val="0"/>
              <w:snapToGrid w:val="0"/>
              <w:spacing w:line="400" w:lineRule="exact"/>
              <w:jc w:val="center"/>
              <w:rPr>
                <w:rFonts w:ascii="宋体" w:hAnsi="宋体" w:cs="宋体"/>
                <w:bCs/>
                <w:kern w:val="0"/>
                <w:sz w:val="24"/>
                <w:szCs w:val="24"/>
              </w:rPr>
            </w:pPr>
            <w:r>
              <w:rPr>
                <w:rFonts w:hint="eastAsia" w:ascii="宋体" w:hAnsi="宋体" w:cs="宋体"/>
                <w:bCs/>
                <w:kern w:val="0"/>
                <w:sz w:val="24"/>
                <w:szCs w:val="24"/>
              </w:rPr>
              <w:t>D</w:t>
            </w:r>
          </w:p>
          <w:p>
            <w:pPr>
              <w:adjustRightInd w:val="0"/>
              <w:snapToGrid w:val="0"/>
              <w:spacing w:line="400" w:lineRule="exact"/>
              <w:jc w:val="center"/>
              <w:rPr>
                <w:rFonts w:ascii="宋体" w:hAnsi="宋体" w:cs="宋体"/>
                <w:bCs/>
                <w:kern w:val="0"/>
                <w:sz w:val="24"/>
                <w:szCs w:val="24"/>
              </w:rPr>
            </w:pPr>
            <w:r>
              <w:rPr>
                <w:rFonts w:hint="eastAsia" w:ascii="宋体" w:hAnsi="宋体" w:cs="宋体"/>
                <w:bCs/>
                <w:kern w:val="0"/>
                <w:sz w:val="24"/>
                <w:szCs w:val="24"/>
              </w:rPr>
              <w:t>（高风险）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9" w:type="dxa"/>
            <w:shd w:val="clear" w:color="auto" w:fill="auto"/>
            <w:vAlign w:val="center"/>
          </w:tcPr>
          <w:p>
            <w:pPr>
              <w:adjustRightInd w:val="0"/>
              <w:snapToGrid w:val="0"/>
              <w:spacing w:line="400" w:lineRule="exact"/>
              <w:jc w:val="center"/>
              <w:rPr>
                <w:rFonts w:ascii="宋体" w:hAnsi="宋体" w:cs="宋体"/>
                <w:bCs/>
                <w:kern w:val="0"/>
                <w:sz w:val="24"/>
                <w:szCs w:val="24"/>
              </w:rPr>
            </w:pPr>
            <w:r>
              <w:rPr>
                <w:rFonts w:hint="eastAsia" w:ascii="宋体" w:hAnsi="宋体" w:cs="宋体"/>
                <w:bCs/>
                <w:kern w:val="0"/>
                <w:sz w:val="24"/>
                <w:szCs w:val="24"/>
              </w:rPr>
              <w:t>A级</w:t>
            </w:r>
          </w:p>
        </w:tc>
        <w:tc>
          <w:tcPr>
            <w:tcW w:w="1824" w:type="dxa"/>
            <w:shd w:val="clear" w:color="auto" w:fill="auto"/>
            <w:vAlign w:val="center"/>
          </w:tcPr>
          <w:p>
            <w:pPr>
              <w:adjustRightInd w:val="0"/>
              <w:snapToGrid w:val="0"/>
              <w:spacing w:line="400" w:lineRule="exact"/>
              <w:jc w:val="center"/>
              <w:rPr>
                <w:rFonts w:ascii="宋体" w:hAnsi="宋体" w:cs="宋体"/>
                <w:b/>
                <w:kern w:val="0"/>
                <w:sz w:val="24"/>
                <w:szCs w:val="24"/>
              </w:rPr>
            </w:pPr>
            <w:r>
              <w:rPr>
                <w:rFonts w:hint="eastAsia" w:ascii="宋体" w:hAnsi="宋体" w:cs="宋体"/>
                <w:b/>
                <w:kern w:val="0"/>
                <w:sz w:val="24"/>
                <w:szCs w:val="24"/>
              </w:rPr>
              <w:t>A</w:t>
            </w:r>
          </w:p>
        </w:tc>
        <w:tc>
          <w:tcPr>
            <w:tcW w:w="2031" w:type="dxa"/>
            <w:shd w:val="clear" w:color="auto" w:fill="auto"/>
            <w:vAlign w:val="center"/>
          </w:tcPr>
          <w:p>
            <w:pPr>
              <w:adjustRightInd w:val="0"/>
              <w:snapToGrid w:val="0"/>
              <w:spacing w:line="400" w:lineRule="exact"/>
              <w:jc w:val="center"/>
              <w:rPr>
                <w:rFonts w:ascii="宋体" w:hAnsi="宋体" w:cs="宋体"/>
                <w:b/>
                <w:kern w:val="0"/>
                <w:sz w:val="24"/>
                <w:szCs w:val="24"/>
              </w:rPr>
            </w:pPr>
            <w:r>
              <w:rPr>
                <w:rFonts w:hint="eastAsia" w:ascii="宋体" w:hAnsi="宋体" w:cs="宋体"/>
                <w:b/>
                <w:kern w:val="0"/>
                <w:sz w:val="24"/>
                <w:szCs w:val="24"/>
              </w:rPr>
              <w:t>A</w:t>
            </w:r>
          </w:p>
        </w:tc>
        <w:tc>
          <w:tcPr>
            <w:tcW w:w="2031" w:type="dxa"/>
            <w:shd w:val="clear" w:color="auto" w:fill="auto"/>
            <w:vAlign w:val="center"/>
          </w:tcPr>
          <w:p>
            <w:pPr>
              <w:adjustRightInd w:val="0"/>
              <w:snapToGrid w:val="0"/>
              <w:spacing w:line="400" w:lineRule="exact"/>
              <w:jc w:val="center"/>
              <w:rPr>
                <w:rFonts w:ascii="宋体" w:hAnsi="宋体" w:cs="宋体"/>
                <w:b/>
                <w:kern w:val="0"/>
                <w:sz w:val="24"/>
                <w:szCs w:val="24"/>
              </w:rPr>
            </w:pPr>
            <w:r>
              <w:rPr>
                <w:rFonts w:hint="eastAsia" w:ascii="宋体" w:hAnsi="宋体" w:cs="宋体"/>
                <w:b/>
                <w:kern w:val="0"/>
                <w:sz w:val="24"/>
                <w:szCs w:val="24"/>
              </w:rPr>
              <w:t>B</w:t>
            </w:r>
          </w:p>
        </w:tc>
        <w:tc>
          <w:tcPr>
            <w:tcW w:w="1923" w:type="dxa"/>
            <w:shd w:val="clear" w:color="auto" w:fill="auto"/>
            <w:vAlign w:val="center"/>
          </w:tcPr>
          <w:p>
            <w:pPr>
              <w:adjustRightInd w:val="0"/>
              <w:snapToGrid w:val="0"/>
              <w:spacing w:line="400" w:lineRule="exact"/>
              <w:jc w:val="center"/>
              <w:rPr>
                <w:rFonts w:ascii="宋体" w:hAnsi="宋体" w:cs="宋体"/>
                <w:b/>
                <w:kern w:val="0"/>
                <w:sz w:val="24"/>
                <w:szCs w:val="24"/>
              </w:rPr>
            </w:pPr>
            <w:r>
              <w:rPr>
                <w:rFonts w:ascii="宋体" w:hAnsi="宋体" w:cs="宋体"/>
                <w:b/>
                <w:kern w:val="0"/>
                <w:sz w:val="24"/>
                <w:szCs w:val="24"/>
              </w:rPr>
              <w:t>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1769" w:type="dxa"/>
            <w:shd w:val="clear" w:color="auto" w:fill="auto"/>
            <w:vAlign w:val="center"/>
          </w:tcPr>
          <w:p>
            <w:pPr>
              <w:adjustRightInd w:val="0"/>
              <w:snapToGrid w:val="0"/>
              <w:spacing w:line="400" w:lineRule="exact"/>
              <w:jc w:val="center"/>
              <w:rPr>
                <w:rFonts w:ascii="宋体" w:hAnsi="宋体" w:cs="宋体"/>
                <w:bCs/>
                <w:kern w:val="0"/>
                <w:sz w:val="24"/>
                <w:szCs w:val="24"/>
              </w:rPr>
            </w:pPr>
            <w:r>
              <w:rPr>
                <w:rFonts w:hint="eastAsia" w:ascii="宋体" w:hAnsi="宋体" w:cs="宋体"/>
                <w:bCs/>
                <w:kern w:val="0"/>
                <w:sz w:val="24"/>
                <w:szCs w:val="24"/>
              </w:rPr>
              <w:t>A-级</w:t>
            </w:r>
          </w:p>
        </w:tc>
        <w:tc>
          <w:tcPr>
            <w:tcW w:w="1824" w:type="dxa"/>
            <w:shd w:val="clear" w:color="auto" w:fill="auto"/>
            <w:vAlign w:val="center"/>
          </w:tcPr>
          <w:p>
            <w:pPr>
              <w:adjustRightInd w:val="0"/>
              <w:snapToGrid w:val="0"/>
              <w:spacing w:line="400" w:lineRule="exact"/>
              <w:jc w:val="center"/>
              <w:rPr>
                <w:rFonts w:ascii="宋体" w:hAnsi="宋体" w:cs="宋体"/>
                <w:b/>
                <w:kern w:val="0"/>
                <w:sz w:val="24"/>
                <w:szCs w:val="24"/>
              </w:rPr>
            </w:pPr>
            <w:r>
              <w:rPr>
                <w:rFonts w:hint="eastAsia" w:ascii="宋体" w:hAnsi="宋体" w:cs="宋体"/>
                <w:b/>
                <w:kern w:val="0"/>
                <w:sz w:val="24"/>
                <w:szCs w:val="24"/>
              </w:rPr>
              <w:t>A</w:t>
            </w:r>
          </w:p>
        </w:tc>
        <w:tc>
          <w:tcPr>
            <w:tcW w:w="2031" w:type="dxa"/>
            <w:shd w:val="clear" w:color="auto" w:fill="auto"/>
            <w:vAlign w:val="center"/>
          </w:tcPr>
          <w:p>
            <w:pPr>
              <w:adjustRightInd w:val="0"/>
              <w:snapToGrid w:val="0"/>
              <w:spacing w:line="400" w:lineRule="exact"/>
              <w:jc w:val="center"/>
              <w:rPr>
                <w:rFonts w:ascii="宋体" w:hAnsi="宋体" w:cs="宋体"/>
                <w:b/>
                <w:kern w:val="0"/>
                <w:sz w:val="24"/>
                <w:szCs w:val="24"/>
              </w:rPr>
            </w:pPr>
            <w:r>
              <w:rPr>
                <w:rFonts w:hint="eastAsia" w:ascii="宋体" w:hAnsi="宋体" w:cs="宋体"/>
                <w:b/>
                <w:kern w:val="0"/>
                <w:sz w:val="24"/>
                <w:szCs w:val="24"/>
              </w:rPr>
              <w:t>A</w:t>
            </w:r>
          </w:p>
        </w:tc>
        <w:tc>
          <w:tcPr>
            <w:tcW w:w="2031" w:type="dxa"/>
            <w:shd w:val="clear" w:color="auto" w:fill="auto"/>
            <w:vAlign w:val="center"/>
          </w:tcPr>
          <w:p>
            <w:pPr>
              <w:adjustRightInd w:val="0"/>
              <w:snapToGrid w:val="0"/>
              <w:spacing w:line="400" w:lineRule="exact"/>
              <w:jc w:val="center"/>
              <w:rPr>
                <w:rFonts w:ascii="宋体" w:hAnsi="宋体" w:cs="宋体"/>
                <w:b/>
                <w:kern w:val="0"/>
                <w:sz w:val="24"/>
                <w:szCs w:val="24"/>
              </w:rPr>
            </w:pPr>
            <w:r>
              <w:rPr>
                <w:rFonts w:hint="eastAsia" w:ascii="宋体" w:hAnsi="宋体" w:cs="宋体"/>
                <w:b/>
                <w:kern w:val="0"/>
                <w:sz w:val="24"/>
                <w:szCs w:val="24"/>
              </w:rPr>
              <w:t>B</w:t>
            </w:r>
          </w:p>
        </w:tc>
        <w:tc>
          <w:tcPr>
            <w:tcW w:w="1923" w:type="dxa"/>
            <w:shd w:val="clear" w:color="auto" w:fill="auto"/>
            <w:vAlign w:val="center"/>
          </w:tcPr>
          <w:p>
            <w:pPr>
              <w:adjustRightInd w:val="0"/>
              <w:snapToGrid w:val="0"/>
              <w:spacing w:line="400" w:lineRule="exact"/>
              <w:jc w:val="center"/>
              <w:rPr>
                <w:rFonts w:ascii="宋体" w:hAnsi="宋体" w:cs="宋体"/>
                <w:b/>
                <w:kern w:val="0"/>
                <w:sz w:val="24"/>
                <w:szCs w:val="24"/>
              </w:rPr>
            </w:pPr>
            <w:r>
              <w:rPr>
                <w:rFonts w:ascii="宋体" w:hAnsi="宋体" w:cs="宋体"/>
                <w:b/>
                <w:kern w:val="0"/>
                <w:sz w:val="24"/>
                <w:szCs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1769" w:type="dxa"/>
            <w:shd w:val="clear" w:color="auto" w:fill="auto"/>
            <w:vAlign w:val="center"/>
          </w:tcPr>
          <w:p>
            <w:pPr>
              <w:adjustRightInd w:val="0"/>
              <w:snapToGrid w:val="0"/>
              <w:spacing w:line="400" w:lineRule="exact"/>
              <w:jc w:val="center"/>
              <w:rPr>
                <w:rFonts w:ascii="宋体" w:hAnsi="宋体" w:cs="宋体"/>
                <w:bCs/>
                <w:kern w:val="0"/>
                <w:sz w:val="24"/>
                <w:szCs w:val="24"/>
              </w:rPr>
            </w:pPr>
            <w:r>
              <w:rPr>
                <w:rFonts w:hint="eastAsia" w:ascii="宋体" w:hAnsi="宋体" w:cs="宋体"/>
                <w:bCs/>
                <w:kern w:val="0"/>
                <w:sz w:val="24"/>
                <w:szCs w:val="24"/>
              </w:rPr>
              <w:t>B+级</w:t>
            </w:r>
          </w:p>
        </w:tc>
        <w:tc>
          <w:tcPr>
            <w:tcW w:w="1824" w:type="dxa"/>
            <w:shd w:val="clear" w:color="auto" w:fill="auto"/>
            <w:vAlign w:val="center"/>
          </w:tcPr>
          <w:p>
            <w:pPr>
              <w:adjustRightInd w:val="0"/>
              <w:snapToGrid w:val="0"/>
              <w:spacing w:line="400" w:lineRule="exact"/>
              <w:jc w:val="center"/>
              <w:rPr>
                <w:rFonts w:ascii="宋体" w:hAnsi="宋体" w:cs="宋体"/>
                <w:b/>
                <w:kern w:val="0"/>
                <w:sz w:val="24"/>
                <w:szCs w:val="24"/>
              </w:rPr>
            </w:pPr>
            <w:r>
              <w:rPr>
                <w:rFonts w:hint="eastAsia" w:ascii="宋体" w:hAnsi="宋体" w:cs="宋体"/>
                <w:b/>
                <w:kern w:val="0"/>
                <w:sz w:val="24"/>
                <w:szCs w:val="24"/>
              </w:rPr>
              <w:t>A</w:t>
            </w:r>
          </w:p>
        </w:tc>
        <w:tc>
          <w:tcPr>
            <w:tcW w:w="2031" w:type="dxa"/>
            <w:shd w:val="clear" w:color="auto" w:fill="auto"/>
            <w:vAlign w:val="center"/>
          </w:tcPr>
          <w:p>
            <w:pPr>
              <w:adjustRightInd w:val="0"/>
              <w:snapToGrid w:val="0"/>
              <w:spacing w:line="400" w:lineRule="exact"/>
              <w:jc w:val="center"/>
              <w:rPr>
                <w:rFonts w:ascii="宋体" w:hAnsi="宋体" w:cs="宋体"/>
                <w:b/>
                <w:kern w:val="0"/>
                <w:sz w:val="24"/>
                <w:szCs w:val="24"/>
              </w:rPr>
            </w:pPr>
            <w:r>
              <w:rPr>
                <w:rFonts w:hint="eastAsia" w:ascii="宋体" w:hAnsi="宋体" w:cs="宋体"/>
                <w:b/>
                <w:kern w:val="0"/>
                <w:sz w:val="24"/>
                <w:szCs w:val="24"/>
              </w:rPr>
              <w:t>B</w:t>
            </w:r>
          </w:p>
        </w:tc>
        <w:tc>
          <w:tcPr>
            <w:tcW w:w="2031" w:type="dxa"/>
            <w:shd w:val="clear" w:color="auto" w:fill="auto"/>
            <w:vAlign w:val="center"/>
          </w:tcPr>
          <w:p>
            <w:pPr>
              <w:adjustRightInd w:val="0"/>
              <w:snapToGrid w:val="0"/>
              <w:spacing w:line="400" w:lineRule="exact"/>
              <w:jc w:val="center"/>
              <w:rPr>
                <w:rFonts w:ascii="宋体" w:hAnsi="宋体" w:cs="宋体"/>
                <w:b/>
                <w:kern w:val="0"/>
                <w:sz w:val="24"/>
                <w:szCs w:val="24"/>
              </w:rPr>
            </w:pPr>
            <w:r>
              <w:rPr>
                <w:rFonts w:hint="eastAsia" w:ascii="宋体" w:hAnsi="宋体" w:cs="宋体"/>
                <w:b/>
                <w:kern w:val="0"/>
                <w:sz w:val="24"/>
                <w:szCs w:val="24"/>
              </w:rPr>
              <w:t>B</w:t>
            </w:r>
          </w:p>
        </w:tc>
        <w:tc>
          <w:tcPr>
            <w:tcW w:w="1923" w:type="dxa"/>
            <w:shd w:val="clear" w:color="auto" w:fill="auto"/>
            <w:vAlign w:val="center"/>
          </w:tcPr>
          <w:p>
            <w:pPr>
              <w:adjustRightInd w:val="0"/>
              <w:snapToGrid w:val="0"/>
              <w:spacing w:line="400" w:lineRule="exact"/>
              <w:jc w:val="center"/>
              <w:rPr>
                <w:rFonts w:ascii="宋体" w:hAnsi="宋体" w:cs="宋体"/>
                <w:b/>
                <w:kern w:val="0"/>
                <w:sz w:val="24"/>
                <w:szCs w:val="24"/>
              </w:rPr>
            </w:pPr>
            <w:r>
              <w:rPr>
                <w:rFonts w:hint="eastAsia" w:ascii="宋体" w:hAnsi="宋体" w:cs="宋体"/>
                <w:b/>
                <w:kern w:val="0"/>
                <w:sz w:val="24"/>
                <w:szCs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9" w:type="dxa"/>
            <w:shd w:val="clear" w:color="auto" w:fill="auto"/>
            <w:vAlign w:val="center"/>
          </w:tcPr>
          <w:p>
            <w:pPr>
              <w:adjustRightInd w:val="0"/>
              <w:snapToGrid w:val="0"/>
              <w:spacing w:line="400" w:lineRule="exact"/>
              <w:jc w:val="center"/>
              <w:rPr>
                <w:rFonts w:ascii="宋体" w:hAnsi="宋体" w:cs="宋体"/>
                <w:bCs/>
                <w:kern w:val="0"/>
                <w:sz w:val="24"/>
                <w:szCs w:val="24"/>
              </w:rPr>
            </w:pPr>
            <w:r>
              <w:rPr>
                <w:rFonts w:hint="eastAsia" w:ascii="宋体" w:hAnsi="宋体" w:cs="宋体"/>
                <w:bCs/>
                <w:kern w:val="0"/>
                <w:sz w:val="24"/>
                <w:szCs w:val="24"/>
              </w:rPr>
              <w:t>B级</w:t>
            </w:r>
          </w:p>
        </w:tc>
        <w:tc>
          <w:tcPr>
            <w:tcW w:w="1824" w:type="dxa"/>
            <w:shd w:val="clear" w:color="auto" w:fill="auto"/>
            <w:vAlign w:val="center"/>
          </w:tcPr>
          <w:p>
            <w:pPr>
              <w:adjustRightInd w:val="0"/>
              <w:snapToGrid w:val="0"/>
              <w:spacing w:line="400" w:lineRule="exact"/>
              <w:jc w:val="center"/>
              <w:rPr>
                <w:rFonts w:ascii="宋体" w:hAnsi="宋体" w:eastAsia="宋体" w:cs="宋体"/>
                <w:b/>
                <w:kern w:val="0"/>
                <w:sz w:val="24"/>
                <w:szCs w:val="24"/>
              </w:rPr>
            </w:pPr>
            <w:r>
              <w:rPr>
                <w:rFonts w:hint="eastAsia" w:ascii="宋体" w:hAnsi="宋体" w:cs="宋体"/>
                <w:b/>
                <w:kern w:val="0"/>
                <w:sz w:val="24"/>
                <w:szCs w:val="24"/>
              </w:rPr>
              <w:t>B</w:t>
            </w:r>
          </w:p>
        </w:tc>
        <w:tc>
          <w:tcPr>
            <w:tcW w:w="2031" w:type="dxa"/>
            <w:shd w:val="clear" w:color="auto" w:fill="auto"/>
            <w:vAlign w:val="center"/>
          </w:tcPr>
          <w:p>
            <w:pPr>
              <w:adjustRightInd w:val="0"/>
              <w:snapToGrid w:val="0"/>
              <w:spacing w:line="400" w:lineRule="exact"/>
              <w:jc w:val="center"/>
              <w:rPr>
                <w:rFonts w:ascii="宋体" w:hAnsi="宋体" w:cs="宋体"/>
                <w:b/>
                <w:kern w:val="0"/>
                <w:sz w:val="24"/>
                <w:szCs w:val="24"/>
              </w:rPr>
            </w:pPr>
            <w:r>
              <w:rPr>
                <w:rFonts w:hint="eastAsia" w:ascii="宋体" w:hAnsi="宋体" w:cs="宋体"/>
                <w:b/>
                <w:kern w:val="0"/>
                <w:sz w:val="24"/>
                <w:szCs w:val="24"/>
              </w:rPr>
              <w:t>B</w:t>
            </w:r>
          </w:p>
        </w:tc>
        <w:tc>
          <w:tcPr>
            <w:tcW w:w="2031" w:type="dxa"/>
            <w:shd w:val="clear" w:color="auto" w:fill="auto"/>
            <w:vAlign w:val="center"/>
          </w:tcPr>
          <w:p>
            <w:pPr>
              <w:adjustRightInd w:val="0"/>
              <w:snapToGrid w:val="0"/>
              <w:spacing w:line="400" w:lineRule="exact"/>
              <w:jc w:val="center"/>
              <w:rPr>
                <w:rFonts w:ascii="宋体" w:hAnsi="宋体" w:cs="宋体"/>
                <w:b/>
                <w:kern w:val="0"/>
                <w:sz w:val="24"/>
                <w:szCs w:val="24"/>
              </w:rPr>
            </w:pPr>
            <w:r>
              <w:rPr>
                <w:rFonts w:hint="eastAsia" w:ascii="宋体" w:hAnsi="宋体" w:cs="宋体"/>
                <w:b/>
                <w:kern w:val="0"/>
                <w:sz w:val="24"/>
                <w:szCs w:val="24"/>
              </w:rPr>
              <w:t>B</w:t>
            </w:r>
          </w:p>
        </w:tc>
        <w:tc>
          <w:tcPr>
            <w:tcW w:w="1923" w:type="dxa"/>
            <w:shd w:val="clear" w:color="auto" w:fill="auto"/>
            <w:vAlign w:val="center"/>
          </w:tcPr>
          <w:p>
            <w:pPr>
              <w:adjustRightInd w:val="0"/>
              <w:snapToGrid w:val="0"/>
              <w:spacing w:line="400" w:lineRule="exact"/>
              <w:jc w:val="center"/>
              <w:rPr>
                <w:rFonts w:ascii="宋体" w:hAnsi="宋体" w:cs="宋体"/>
                <w:b/>
                <w:kern w:val="0"/>
                <w:sz w:val="24"/>
                <w:szCs w:val="24"/>
              </w:rPr>
            </w:pPr>
            <w:r>
              <w:rPr>
                <w:rFonts w:hint="eastAsia" w:ascii="宋体" w:hAnsi="宋体" w:cs="宋体"/>
                <w:b/>
                <w:kern w:val="0"/>
                <w:sz w:val="24"/>
                <w:szCs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9" w:type="dxa"/>
            <w:shd w:val="clear" w:color="auto" w:fill="auto"/>
            <w:vAlign w:val="center"/>
          </w:tcPr>
          <w:p>
            <w:pPr>
              <w:adjustRightInd w:val="0"/>
              <w:snapToGrid w:val="0"/>
              <w:spacing w:line="400" w:lineRule="exact"/>
              <w:jc w:val="center"/>
              <w:rPr>
                <w:rFonts w:ascii="宋体" w:hAnsi="宋体" w:cs="宋体"/>
                <w:bCs/>
                <w:kern w:val="0"/>
                <w:sz w:val="24"/>
                <w:szCs w:val="24"/>
              </w:rPr>
            </w:pPr>
            <w:r>
              <w:rPr>
                <w:rFonts w:hint="eastAsia" w:ascii="宋体" w:hAnsi="宋体" w:cs="宋体"/>
                <w:bCs/>
                <w:kern w:val="0"/>
                <w:sz w:val="24"/>
                <w:szCs w:val="24"/>
              </w:rPr>
              <w:t>B-级</w:t>
            </w:r>
          </w:p>
        </w:tc>
        <w:tc>
          <w:tcPr>
            <w:tcW w:w="1824" w:type="dxa"/>
            <w:shd w:val="clear" w:color="auto" w:fill="auto"/>
            <w:vAlign w:val="center"/>
          </w:tcPr>
          <w:p>
            <w:pPr>
              <w:adjustRightInd w:val="0"/>
              <w:snapToGrid w:val="0"/>
              <w:spacing w:line="400" w:lineRule="exact"/>
              <w:jc w:val="center"/>
              <w:rPr>
                <w:rFonts w:ascii="宋体" w:hAnsi="宋体" w:eastAsia="宋体" w:cs="宋体"/>
                <w:b/>
                <w:kern w:val="0"/>
                <w:sz w:val="24"/>
                <w:szCs w:val="24"/>
              </w:rPr>
            </w:pPr>
            <w:r>
              <w:rPr>
                <w:rFonts w:hint="eastAsia" w:ascii="宋体" w:hAnsi="宋体" w:cs="宋体"/>
                <w:b/>
                <w:kern w:val="0"/>
                <w:sz w:val="24"/>
                <w:szCs w:val="24"/>
              </w:rPr>
              <w:t>B</w:t>
            </w:r>
          </w:p>
        </w:tc>
        <w:tc>
          <w:tcPr>
            <w:tcW w:w="2031" w:type="dxa"/>
            <w:shd w:val="clear" w:color="auto" w:fill="auto"/>
            <w:vAlign w:val="center"/>
          </w:tcPr>
          <w:p>
            <w:pPr>
              <w:adjustRightInd w:val="0"/>
              <w:snapToGrid w:val="0"/>
              <w:spacing w:line="400" w:lineRule="exact"/>
              <w:jc w:val="center"/>
              <w:rPr>
                <w:rFonts w:ascii="宋体" w:hAnsi="宋体" w:cs="宋体"/>
                <w:b/>
                <w:kern w:val="0"/>
                <w:sz w:val="24"/>
                <w:szCs w:val="24"/>
              </w:rPr>
            </w:pPr>
            <w:r>
              <w:rPr>
                <w:rFonts w:hint="eastAsia" w:ascii="宋体" w:hAnsi="宋体" w:cs="宋体"/>
                <w:b/>
                <w:kern w:val="0"/>
                <w:sz w:val="24"/>
                <w:szCs w:val="24"/>
              </w:rPr>
              <w:t>B</w:t>
            </w:r>
          </w:p>
        </w:tc>
        <w:tc>
          <w:tcPr>
            <w:tcW w:w="2031" w:type="dxa"/>
            <w:shd w:val="clear" w:color="auto" w:fill="auto"/>
            <w:vAlign w:val="center"/>
          </w:tcPr>
          <w:p>
            <w:pPr>
              <w:adjustRightInd w:val="0"/>
              <w:snapToGrid w:val="0"/>
              <w:spacing w:line="400" w:lineRule="exact"/>
              <w:jc w:val="center"/>
              <w:rPr>
                <w:rFonts w:ascii="宋体" w:hAnsi="宋体" w:eastAsia="宋体" w:cs="宋体"/>
                <w:b/>
                <w:kern w:val="0"/>
                <w:sz w:val="24"/>
                <w:szCs w:val="24"/>
              </w:rPr>
            </w:pPr>
            <w:r>
              <w:rPr>
                <w:rFonts w:hint="eastAsia" w:ascii="宋体" w:hAnsi="宋体" w:cs="宋体"/>
                <w:b/>
                <w:kern w:val="0"/>
                <w:sz w:val="24"/>
                <w:szCs w:val="24"/>
              </w:rPr>
              <w:t>C</w:t>
            </w:r>
          </w:p>
        </w:tc>
        <w:tc>
          <w:tcPr>
            <w:tcW w:w="1923" w:type="dxa"/>
            <w:shd w:val="clear" w:color="auto" w:fill="auto"/>
            <w:vAlign w:val="center"/>
          </w:tcPr>
          <w:p>
            <w:pPr>
              <w:adjustRightInd w:val="0"/>
              <w:snapToGrid w:val="0"/>
              <w:spacing w:line="400" w:lineRule="exact"/>
              <w:jc w:val="center"/>
              <w:rPr>
                <w:rFonts w:ascii="宋体" w:hAnsi="宋体" w:eastAsia="宋体" w:cs="宋体"/>
                <w:b/>
                <w:kern w:val="0"/>
                <w:sz w:val="24"/>
                <w:szCs w:val="24"/>
              </w:rPr>
            </w:pPr>
            <w:r>
              <w:rPr>
                <w:rFonts w:hint="eastAsia" w:ascii="宋体" w:hAnsi="宋体" w:cs="宋体"/>
                <w:b/>
                <w:kern w:val="0"/>
                <w:sz w:val="24"/>
                <w:szCs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1769" w:type="dxa"/>
            <w:shd w:val="clear" w:color="auto" w:fill="auto"/>
            <w:vAlign w:val="center"/>
          </w:tcPr>
          <w:p>
            <w:pPr>
              <w:adjustRightInd w:val="0"/>
              <w:snapToGrid w:val="0"/>
              <w:spacing w:line="400" w:lineRule="exact"/>
              <w:jc w:val="center"/>
              <w:rPr>
                <w:rFonts w:ascii="宋体" w:hAnsi="宋体" w:cs="宋体"/>
                <w:bCs/>
                <w:kern w:val="0"/>
                <w:sz w:val="24"/>
                <w:szCs w:val="24"/>
              </w:rPr>
            </w:pPr>
            <w:r>
              <w:rPr>
                <w:rFonts w:hint="eastAsia" w:ascii="宋体" w:hAnsi="宋体" w:cs="宋体"/>
                <w:bCs/>
                <w:kern w:val="0"/>
                <w:sz w:val="24"/>
                <w:szCs w:val="24"/>
              </w:rPr>
              <w:t>C+级</w:t>
            </w:r>
          </w:p>
        </w:tc>
        <w:tc>
          <w:tcPr>
            <w:tcW w:w="1824" w:type="dxa"/>
            <w:shd w:val="clear" w:color="auto" w:fill="auto"/>
            <w:vAlign w:val="center"/>
          </w:tcPr>
          <w:p>
            <w:pPr>
              <w:adjustRightInd w:val="0"/>
              <w:snapToGrid w:val="0"/>
              <w:spacing w:line="400" w:lineRule="exact"/>
              <w:jc w:val="center"/>
              <w:rPr>
                <w:rFonts w:ascii="宋体" w:hAnsi="宋体" w:eastAsia="宋体" w:cs="宋体"/>
                <w:b/>
                <w:kern w:val="0"/>
                <w:sz w:val="24"/>
                <w:szCs w:val="24"/>
              </w:rPr>
            </w:pPr>
            <w:r>
              <w:rPr>
                <w:rFonts w:hint="eastAsia" w:ascii="宋体" w:hAnsi="宋体" w:cs="宋体"/>
                <w:b/>
                <w:kern w:val="0"/>
                <w:sz w:val="24"/>
                <w:szCs w:val="24"/>
              </w:rPr>
              <w:t>B</w:t>
            </w:r>
          </w:p>
        </w:tc>
        <w:tc>
          <w:tcPr>
            <w:tcW w:w="2031" w:type="dxa"/>
            <w:shd w:val="clear" w:color="auto" w:fill="auto"/>
            <w:vAlign w:val="center"/>
          </w:tcPr>
          <w:p>
            <w:pPr>
              <w:adjustRightInd w:val="0"/>
              <w:snapToGrid w:val="0"/>
              <w:spacing w:line="400" w:lineRule="exact"/>
              <w:jc w:val="center"/>
              <w:rPr>
                <w:rFonts w:ascii="宋体" w:hAnsi="宋体" w:eastAsia="宋体" w:cs="宋体"/>
                <w:b/>
                <w:kern w:val="0"/>
                <w:sz w:val="24"/>
                <w:szCs w:val="24"/>
              </w:rPr>
            </w:pPr>
            <w:r>
              <w:rPr>
                <w:rFonts w:hint="eastAsia" w:ascii="宋体" w:hAnsi="宋体" w:cs="宋体"/>
                <w:b/>
                <w:kern w:val="0"/>
                <w:sz w:val="24"/>
                <w:szCs w:val="24"/>
              </w:rPr>
              <w:t>C</w:t>
            </w:r>
          </w:p>
        </w:tc>
        <w:tc>
          <w:tcPr>
            <w:tcW w:w="2031" w:type="dxa"/>
            <w:shd w:val="clear" w:color="auto" w:fill="auto"/>
            <w:vAlign w:val="center"/>
          </w:tcPr>
          <w:p>
            <w:pPr>
              <w:adjustRightInd w:val="0"/>
              <w:snapToGrid w:val="0"/>
              <w:spacing w:line="400" w:lineRule="exact"/>
              <w:jc w:val="center"/>
              <w:rPr>
                <w:rFonts w:ascii="宋体" w:hAnsi="宋体" w:cs="宋体"/>
                <w:b/>
                <w:kern w:val="0"/>
                <w:sz w:val="24"/>
                <w:szCs w:val="24"/>
              </w:rPr>
            </w:pPr>
            <w:r>
              <w:rPr>
                <w:rFonts w:hint="eastAsia" w:ascii="宋体" w:hAnsi="宋体" w:cs="宋体"/>
                <w:b/>
                <w:kern w:val="0"/>
                <w:sz w:val="24"/>
                <w:szCs w:val="24"/>
              </w:rPr>
              <w:t>C</w:t>
            </w:r>
          </w:p>
        </w:tc>
        <w:tc>
          <w:tcPr>
            <w:tcW w:w="1923" w:type="dxa"/>
            <w:shd w:val="clear" w:color="auto" w:fill="auto"/>
            <w:vAlign w:val="center"/>
          </w:tcPr>
          <w:p>
            <w:pPr>
              <w:adjustRightInd w:val="0"/>
              <w:snapToGrid w:val="0"/>
              <w:spacing w:line="400" w:lineRule="exact"/>
              <w:jc w:val="center"/>
              <w:rPr>
                <w:rFonts w:ascii="宋体" w:hAnsi="宋体" w:cs="宋体"/>
                <w:b/>
                <w:kern w:val="0"/>
                <w:sz w:val="24"/>
                <w:szCs w:val="24"/>
              </w:rPr>
            </w:pPr>
            <w:r>
              <w:rPr>
                <w:rFonts w:hint="eastAsia" w:ascii="宋体" w:hAnsi="宋体" w:cs="宋体"/>
                <w:b/>
                <w:kern w:val="0"/>
                <w:sz w:val="24"/>
                <w:szCs w:val="24"/>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9" w:type="dxa"/>
            <w:shd w:val="clear" w:color="auto" w:fill="auto"/>
            <w:vAlign w:val="center"/>
          </w:tcPr>
          <w:p>
            <w:pPr>
              <w:adjustRightInd w:val="0"/>
              <w:snapToGrid w:val="0"/>
              <w:spacing w:line="400" w:lineRule="exact"/>
              <w:jc w:val="center"/>
              <w:rPr>
                <w:rFonts w:ascii="宋体" w:hAnsi="宋体" w:cs="宋体"/>
                <w:bCs/>
                <w:kern w:val="0"/>
                <w:sz w:val="24"/>
                <w:szCs w:val="24"/>
              </w:rPr>
            </w:pPr>
            <w:r>
              <w:rPr>
                <w:rFonts w:hint="eastAsia" w:ascii="宋体" w:hAnsi="宋体" w:cs="宋体"/>
                <w:bCs/>
                <w:kern w:val="0"/>
                <w:sz w:val="24"/>
                <w:szCs w:val="24"/>
              </w:rPr>
              <w:t>C级</w:t>
            </w:r>
          </w:p>
        </w:tc>
        <w:tc>
          <w:tcPr>
            <w:tcW w:w="1824" w:type="dxa"/>
            <w:shd w:val="clear" w:color="auto" w:fill="auto"/>
            <w:vAlign w:val="center"/>
          </w:tcPr>
          <w:p>
            <w:pPr>
              <w:adjustRightInd w:val="0"/>
              <w:snapToGrid w:val="0"/>
              <w:spacing w:line="400" w:lineRule="exact"/>
              <w:jc w:val="center"/>
              <w:rPr>
                <w:rFonts w:ascii="宋体" w:hAnsi="宋体" w:eastAsia="宋体" w:cs="宋体"/>
                <w:b/>
                <w:kern w:val="0"/>
                <w:sz w:val="24"/>
                <w:szCs w:val="24"/>
              </w:rPr>
            </w:pPr>
            <w:r>
              <w:rPr>
                <w:rFonts w:hint="eastAsia" w:ascii="宋体" w:hAnsi="宋体" w:cs="宋体"/>
                <w:b/>
                <w:kern w:val="0"/>
                <w:sz w:val="24"/>
                <w:szCs w:val="24"/>
              </w:rPr>
              <w:t>C</w:t>
            </w:r>
          </w:p>
        </w:tc>
        <w:tc>
          <w:tcPr>
            <w:tcW w:w="2031" w:type="dxa"/>
            <w:shd w:val="clear" w:color="auto" w:fill="auto"/>
            <w:vAlign w:val="center"/>
          </w:tcPr>
          <w:p>
            <w:pPr>
              <w:adjustRightInd w:val="0"/>
              <w:snapToGrid w:val="0"/>
              <w:spacing w:line="400" w:lineRule="exact"/>
              <w:jc w:val="center"/>
              <w:rPr>
                <w:rFonts w:ascii="宋体" w:hAnsi="宋体" w:cs="宋体"/>
                <w:b/>
                <w:kern w:val="0"/>
                <w:sz w:val="24"/>
                <w:szCs w:val="24"/>
              </w:rPr>
            </w:pPr>
            <w:r>
              <w:rPr>
                <w:rFonts w:ascii="宋体" w:hAnsi="宋体" w:cs="宋体"/>
                <w:b/>
                <w:kern w:val="0"/>
                <w:sz w:val="24"/>
                <w:szCs w:val="24"/>
              </w:rPr>
              <w:t>C</w:t>
            </w:r>
          </w:p>
        </w:tc>
        <w:tc>
          <w:tcPr>
            <w:tcW w:w="2031" w:type="dxa"/>
            <w:shd w:val="clear" w:color="auto" w:fill="auto"/>
            <w:vAlign w:val="center"/>
          </w:tcPr>
          <w:p>
            <w:pPr>
              <w:adjustRightInd w:val="0"/>
              <w:snapToGrid w:val="0"/>
              <w:spacing w:line="400" w:lineRule="exact"/>
              <w:jc w:val="center"/>
              <w:rPr>
                <w:rFonts w:ascii="宋体" w:hAnsi="宋体" w:eastAsia="宋体" w:cs="宋体"/>
                <w:b/>
                <w:kern w:val="0"/>
                <w:sz w:val="24"/>
                <w:szCs w:val="24"/>
              </w:rPr>
            </w:pPr>
            <w:r>
              <w:rPr>
                <w:rFonts w:hint="eastAsia" w:ascii="宋体" w:hAnsi="宋体" w:cs="宋体"/>
                <w:b/>
                <w:kern w:val="0"/>
                <w:sz w:val="24"/>
                <w:szCs w:val="24"/>
              </w:rPr>
              <w:t>D</w:t>
            </w:r>
          </w:p>
        </w:tc>
        <w:tc>
          <w:tcPr>
            <w:tcW w:w="1923" w:type="dxa"/>
            <w:shd w:val="clear" w:color="auto" w:fill="auto"/>
            <w:vAlign w:val="center"/>
          </w:tcPr>
          <w:p>
            <w:pPr>
              <w:adjustRightInd w:val="0"/>
              <w:snapToGrid w:val="0"/>
              <w:spacing w:line="400" w:lineRule="exact"/>
              <w:jc w:val="center"/>
              <w:rPr>
                <w:rFonts w:ascii="宋体" w:hAnsi="宋体" w:cs="宋体"/>
                <w:b/>
                <w:kern w:val="0"/>
                <w:sz w:val="24"/>
                <w:szCs w:val="24"/>
              </w:rPr>
            </w:pPr>
            <w:r>
              <w:rPr>
                <w:rFonts w:ascii="宋体" w:hAnsi="宋体" w:cs="宋体"/>
                <w:b/>
                <w:kern w:val="0"/>
                <w:sz w:val="24"/>
                <w:szCs w:val="24"/>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9" w:type="dxa"/>
            <w:shd w:val="clear" w:color="auto" w:fill="auto"/>
            <w:vAlign w:val="center"/>
          </w:tcPr>
          <w:p>
            <w:pPr>
              <w:adjustRightInd w:val="0"/>
              <w:snapToGrid w:val="0"/>
              <w:spacing w:line="400" w:lineRule="exact"/>
              <w:jc w:val="center"/>
              <w:rPr>
                <w:rFonts w:ascii="宋体" w:hAnsi="宋体" w:cs="宋体"/>
                <w:bCs/>
                <w:kern w:val="0"/>
                <w:sz w:val="24"/>
                <w:szCs w:val="24"/>
              </w:rPr>
            </w:pPr>
            <w:r>
              <w:rPr>
                <w:rFonts w:hint="eastAsia" w:ascii="宋体" w:hAnsi="宋体" w:cs="宋体"/>
                <w:bCs/>
                <w:kern w:val="0"/>
                <w:sz w:val="24"/>
                <w:szCs w:val="24"/>
              </w:rPr>
              <w:t>C-级</w:t>
            </w:r>
          </w:p>
        </w:tc>
        <w:tc>
          <w:tcPr>
            <w:tcW w:w="1824" w:type="dxa"/>
            <w:shd w:val="clear" w:color="auto" w:fill="auto"/>
            <w:vAlign w:val="center"/>
          </w:tcPr>
          <w:p>
            <w:pPr>
              <w:adjustRightInd w:val="0"/>
              <w:snapToGrid w:val="0"/>
              <w:spacing w:line="400" w:lineRule="exact"/>
              <w:jc w:val="center"/>
              <w:rPr>
                <w:rFonts w:ascii="宋体" w:hAnsi="宋体" w:cs="宋体"/>
                <w:b/>
                <w:kern w:val="0"/>
                <w:sz w:val="24"/>
                <w:szCs w:val="24"/>
              </w:rPr>
            </w:pPr>
            <w:r>
              <w:rPr>
                <w:rFonts w:hint="eastAsia" w:ascii="宋体" w:hAnsi="宋体" w:cs="宋体"/>
                <w:b/>
                <w:kern w:val="0"/>
                <w:sz w:val="24"/>
                <w:szCs w:val="24"/>
              </w:rPr>
              <w:t>C</w:t>
            </w:r>
          </w:p>
        </w:tc>
        <w:tc>
          <w:tcPr>
            <w:tcW w:w="2031" w:type="dxa"/>
            <w:shd w:val="clear" w:color="auto" w:fill="auto"/>
            <w:vAlign w:val="center"/>
          </w:tcPr>
          <w:p>
            <w:pPr>
              <w:adjustRightInd w:val="0"/>
              <w:snapToGrid w:val="0"/>
              <w:spacing w:line="400" w:lineRule="exact"/>
              <w:jc w:val="center"/>
              <w:rPr>
                <w:rFonts w:ascii="宋体" w:hAnsi="宋体" w:eastAsia="宋体" w:cs="宋体"/>
                <w:b/>
                <w:kern w:val="0"/>
                <w:sz w:val="24"/>
                <w:szCs w:val="24"/>
              </w:rPr>
            </w:pPr>
            <w:r>
              <w:rPr>
                <w:rFonts w:hint="eastAsia" w:ascii="宋体" w:hAnsi="宋体" w:cs="宋体"/>
                <w:b/>
                <w:kern w:val="0"/>
                <w:sz w:val="24"/>
                <w:szCs w:val="24"/>
              </w:rPr>
              <w:t>D</w:t>
            </w:r>
          </w:p>
        </w:tc>
        <w:tc>
          <w:tcPr>
            <w:tcW w:w="2031" w:type="dxa"/>
            <w:shd w:val="clear" w:color="auto" w:fill="auto"/>
            <w:vAlign w:val="center"/>
          </w:tcPr>
          <w:p>
            <w:pPr>
              <w:adjustRightInd w:val="0"/>
              <w:snapToGrid w:val="0"/>
              <w:spacing w:line="400" w:lineRule="exact"/>
              <w:jc w:val="center"/>
              <w:rPr>
                <w:rFonts w:ascii="宋体" w:hAnsi="宋体" w:cs="宋体"/>
                <w:b/>
                <w:kern w:val="0"/>
                <w:sz w:val="24"/>
                <w:szCs w:val="24"/>
              </w:rPr>
            </w:pPr>
            <w:r>
              <w:rPr>
                <w:rFonts w:ascii="宋体" w:hAnsi="宋体" w:cs="宋体"/>
                <w:b/>
                <w:kern w:val="0"/>
                <w:sz w:val="24"/>
                <w:szCs w:val="24"/>
              </w:rPr>
              <w:t>D</w:t>
            </w:r>
          </w:p>
        </w:tc>
        <w:tc>
          <w:tcPr>
            <w:tcW w:w="1923" w:type="dxa"/>
            <w:shd w:val="clear" w:color="auto" w:fill="auto"/>
            <w:vAlign w:val="center"/>
          </w:tcPr>
          <w:p>
            <w:pPr>
              <w:adjustRightInd w:val="0"/>
              <w:snapToGrid w:val="0"/>
              <w:spacing w:line="400" w:lineRule="exact"/>
              <w:jc w:val="center"/>
              <w:rPr>
                <w:rFonts w:ascii="宋体" w:hAnsi="宋体" w:cs="宋体"/>
                <w:b/>
                <w:kern w:val="0"/>
                <w:sz w:val="24"/>
                <w:szCs w:val="24"/>
              </w:rPr>
            </w:pPr>
            <w:r>
              <w:rPr>
                <w:rFonts w:hint="eastAsia" w:ascii="宋体" w:hAnsi="宋体" w:cs="宋体"/>
                <w:b/>
                <w:kern w:val="0"/>
                <w:sz w:val="24"/>
                <w:szCs w:val="24"/>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9" w:type="dxa"/>
            <w:shd w:val="clear" w:color="auto" w:fill="auto"/>
            <w:vAlign w:val="center"/>
          </w:tcPr>
          <w:p>
            <w:pPr>
              <w:adjustRightInd w:val="0"/>
              <w:snapToGrid w:val="0"/>
              <w:spacing w:line="400" w:lineRule="exact"/>
              <w:jc w:val="center"/>
              <w:rPr>
                <w:rFonts w:ascii="宋体" w:hAnsi="宋体" w:cs="宋体"/>
                <w:bCs/>
                <w:kern w:val="0"/>
                <w:sz w:val="24"/>
                <w:szCs w:val="24"/>
              </w:rPr>
            </w:pPr>
            <w:r>
              <w:rPr>
                <w:rFonts w:hint="eastAsia" w:ascii="宋体" w:hAnsi="宋体" w:cs="宋体"/>
                <w:bCs/>
                <w:kern w:val="0"/>
                <w:sz w:val="24"/>
                <w:szCs w:val="24"/>
              </w:rPr>
              <w:t>D级</w:t>
            </w:r>
          </w:p>
        </w:tc>
        <w:tc>
          <w:tcPr>
            <w:tcW w:w="1824" w:type="dxa"/>
            <w:shd w:val="clear" w:color="auto" w:fill="auto"/>
            <w:vAlign w:val="center"/>
          </w:tcPr>
          <w:p>
            <w:pPr>
              <w:adjustRightInd w:val="0"/>
              <w:snapToGrid w:val="0"/>
              <w:spacing w:line="400" w:lineRule="exact"/>
              <w:jc w:val="center"/>
              <w:rPr>
                <w:rFonts w:ascii="宋体" w:hAnsi="宋体" w:cs="宋体"/>
                <w:b/>
                <w:kern w:val="0"/>
                <w:sz w:val="24"/>
                <w:szCs w:val="24"/>
              </w:rPr>
            </w:pPr>
            <w:r>
              <w:rPr>
                <w:rFonts w:hint="eastAsia" w:ascii="宋体" w:hAnsi="宋体" w:cs="宋体"/>
                <w:b/>
                <w:kern w:val="0"/>
                <w:sz w:val="24"/>
                <w:szCs w:val="24"/>
              </w:rPr>
              <w:t>D</w:t>
            </w:r>
          </w:p>
        </w:tc>
        <w:tc>
          <w:tcPr>
            <w:tcW w:w="2031" w:type="dxa"/>
            <w:shd w:val="clear" w:color="auto" w:fill="auto"/>
            <w:vAlign w:val="center"/>
          </w:tcPr>
          <w:p>
            <w:pPr>
              <w:adjustRightInd w:val="0"/>
              <w:snapToGrid w:val="0"/>
              <w:spacing w:line="400" w:lineRule="exact"/>
              <w:jc w:val="center"/>
              <w:rPr>
                <w:rFonts w:ascii="宋体" w:hAnsi="宋体" w:cs="宋体"/>
                <w:b/>
                <w:kern w:val="0"/>
                <w:sz w:val="24"/>
                <w:szCs w:val="24"/>
              </w:rPr>
            </w:pPr>
            <w:r>
              <w:rPr>
                <w:rFonts w:hint="eastAsia" w:ascii="宋体" w:hAnsi="宋体" w:cs="宋体"/>
                <w:b/>
                <w:kern w:val="0"/>
                <w:sz w:val="24"/>
                <w:szCs w:val="24"/>
              </w:rPr>
              <w:t>D</w:t>
            </w:r>
          </w:p>
        </w:tc>
        <w:tc>
          <w:tcPr>
            <w:tcW w:w="2031" w:type="dxa"/>
            <w:shd w:val="clear" w:color="auto" w:fill="auto"/>
            <w:vAlign w:val="center"/>
          </w:tcPr>
          <w:p>
            <w:pPr>
              <w:adjustRightInd w:val="0"/>
              <w:snapToGrid w:val="0"/>
              <w:spacing w:line="400" w:lineRule="exact"/>
              <w:jc w:val="center"/>
              <w:rPr>
                <w:rFonts w:ascii="宋体" w:hAnsi="宋体" w:cs="宋体"/>
                <w:b/>
                <w:kern w:val="0"/>
                <w:sz w:val="24"/>
                <w:szCs w:val="24"/>
              </w:rPr>
            </w:pPr>
            <w:r>
              <w:rPr>
                <w:rFonts w:hint="eastAsia" w:ascii="宋体" w:hAnsi="宋体" w:cs="宋体"/>
                <w:b/>
                <w:kern w:val="0"/>
                <w:sz w:val="24"/>
                <w:szCs w:val="24"/>
              </w:rPr>
              <w:t>D</w:t>
            </w:r>
          </w:p>
        </w:tc>
        <w:tc>
          <w:tcPr>
            <w:tcW w:w="1923" w:type="dxa"/>
            <w:shd w:val="clear" w:color="auto" w:fill="auto"/>
            <w:vAlign w:val="center"/>
          </w:tcPr>
          <w:p>
            <w:pPr>
              <w:adjustRightInd w:val="0"/>
              <w:snapToGrid w:val="0"/>
              <w:spacing w:line="400" w:lineRule="exact"/>
              <w:jc w:val="center"/>
              <w:rPr>
                <w:rFonts w:ascii="宋体" w:hAnsi="宋体" w:cs="宋体"/>
                <w:b/>
                <w:kern w:val="0"/>
                <w:sz w:val="24"/>
                <w:szCs w:val="24"/>
              </w:rPr>
            </w:pPr>
            <w:r>
              <w:rPr>
                <w:rFonts w:hint="eastAsia" w:ascii="宋体" w:hAnsi="宋体" w:cs="宋体"/>
                <w:b/>
                <w:kern w:val="0"/>
                <w:sz w:val="24"/>
                <w:szCs w:val="24"/>
              </w:rPr>
              <w:t>D</w:t>
            </w:r>
          </w:p>
        </w:tc>
      </w:tr>
    </w:tbl>
    <w:p>
      <w:pPr>
        <w:autoSpaceDE w:val="0"/>
        <w:autoSpaceDN w:val="0"/>
        <w:adjustRightInd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第四条</w:t>
      </w:r>
      <w:r>
        <w:rPr>
          <w:rFonts w:hint="eastAsia" w:ascii="仿宋_GB2312" w:eastAsia="仿宋_GB2312"/>
          <w:sz w:val="32"/>
          <w:szCs w:val="32"/>
        </w:rPr>
        <w:t xml:space="preserve">  针对不同等级的监管对象，合理确定</w:t>
      </w:r>
      <w:r>
        <w:rPr>
          <w:rFonts w:hint="eastAsia" w:ascii="仿宋_GB2312" w:hAnsi="仿宋_GB2312" w:eastAsia="仿宋_GB2312" w:cs="仿宋_GB2312"/>
          <w:kern w:val="0"/>
          <w:sz w:val="32"/>
          <w:szCs w:val="32"/>
        </w:rPr>
        <w:t>检查频次。提高监管精准化水平，对风险低、信用好的住宅项目，减少检查频次。对风险高、信用差的住宅项目，提高检查频次。</w:t>
      </w:r>
    </w:p>
    <w:p>
      <w:pPr>
        <w:pStyle w:val="12"/>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第五条</w:t>
      </w:r>
      <w:r>
        <w:rPr>
          <w:rFonts w:hint="eastAsia" w:ascii="仿宋_GB2312" w:hAnsi="仿宋_GB2312" w:eastAsia="仿宋_GB2312" w:cs="仿宋_GB2312"/>
          <w:kern w:val="0"/>
          <w:sz w:val="32"/>
          <w:szCs w:val="32"/>
        </w:rPr>
        <w:t xml:space="preserve">  分类分级监管标准监管实施主体分为市级、区级、街道（乡镇）级，检查方式为现场检查，具体标准如下。</w:t>
      </w:r>
    </w:p>
    <w:tbl>
      <w:tblPr>
        <w:tblStyle w:val="26"/>
        <w:tblW w:w="80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70"/>
        <w:gridCol w:w="2616"/>
        <w:gridCol w:w="33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170" w:type="dxa"/>
            <w:vAlign w:val="center"/>
          </w:tcPr>
          <w:p>
            <w:pPr>
              <w:adjustRightInd w:val="0"/>
              <w:snapToGrid w:val="0"/>
              <w:spacing w:line="400" w:lineRule="exact"/>
              <w:jc w:val="center"/>
              <w:rPr>
                <w:rFonts w:ascii="宋体" w:hAnsi="宋体" w:eastAsia="宋体" w:cs="宋体"/>
                <w:b/>
                <w:kern w:val="0"/>
                <w:szCs w:val="21"/>
              </w:rPr>
            </w:pPr>
            <w:r>
              <w:rPr>
                <w:rFonts w:hint="eastAsia" w:ascii="宋体" w:hAnsi="宋体" w:cs="宋体"/>
                <w:b/>
                <w:kern w:val="0"/>
                <w:szCs w:val="21"/>
              </w:rPr>
              <w:t>监督等级</w:t>
            </w:r>
          </w:p>
        </w:tc>
        <w:tc>
          <w:tcPr>
            <w:tcW w:w="2616" w:type="dxa"/>
            <w:vAlign w:val="center"/>
          </w:tcPr>
          <w:p>
            <w:pPr>
              <w:adjustRightInd w:val="0"/>
              <w:snapToGrid w:val="0"/>
              <w:spacing w:line="400" w:lineRule="exact"/>
              <w:jc w:val="center"/>
              <w:rPr>
                <w:rFonts w:ascii="宋体" w:hAnsi="宋体" w:eastAsia="宋体" w:cs="宋体"/>
                <w:b/>
                <w:kern w:val="0"/>
                <w:szCs w:val="21"/>
              </w:rPr>
            </w:pPr>
            <w:r>
              <w:rPr>
                <w:rFonts w:hint="eastAsia" w:ascii="宋体" w:hAnsi="宋体" w:cs="宋体"/>
                <w:b/>
                <w:kern w:val="0"/>
                <w:szCs w:val="21"/>
              </w:rPr>
              <w:t>监督主体</w:t>
            </w:r>
          </w:p>
        </w:tc>
        <w:tc>
          <w:tcPr>
            <w:tcW w:w="3308" w:type="dxa"/>
            <w:vAlign w:val="center"/>
          </w:tcPr>
          <w:p>
            <w:pPr>
              <w:adjustRightInd w:val="0"/>
              <w:snapToGrid w:val="0"/>
              <w:spacing w:line="400" w:lineRule="exact"/>
              <w:jc w:val="center"/>
              <w:rPr>
                <w:rFonts w:ascii="宋体" w:hAnsi="宋体" w:eastAsia="宋体" w:cs="宋体"/>
                <w:b/>
                <w:kern w:val="0"/>
                <w:szCs w:val="21"/>
              </w:rPr>
            </w:pPr>
            <w:r>
              <w:rPr>
                <w:rFonts w:hint="eastAsia" w:ascii="宋体" w:hAnsi="宋体" w:cs="宋体"/>
                <w:b/>
                <w:kern w:val="0"/>
                <w:szCs w:val="21"/>
              </w:rPr>
              <w:t>现场检查频次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2170" w:type="dxa"/>
            <w:vMerge w:val="restart"/>
            <w:shd w:val="clear" w:color="auto" w:fill="auto"/>
            <w:vAlign w:val="center"/>
          </w:tcPr>
          <w:p>
            <w:pPr>
              <w:adjustRightInd w:val="0"/>
              <w:snapToGrid w:val="0"/>
              <w:spacing w:line="400" w:lineRule="exact"/>
              <w:jc w:val="center"/>
              <w:rPr>
                <w:rFonts w:ascii="宋体" w:hAnsi="宋体" w:cs="宋体"/>
                <w:kern w:val="0"/>
                <w:szCs w:val="21"/>
              </w:rPr>
            </w:pPr>
            <w:r>
              <w:rPr>
                <w:rFonts w:hint="eastAsia" w:ascii="宋体" w:hAnsi="宋体" w:cs="宋体"/>
                <w:kern w:val="0"/>
                <w:szCs w:val="21"/>
              </w:rPr>
              <w:t>A级</w:t>
            </w:r>
          </w:p>
        </w:tc>
        <w:tc>
          <w:tcPr>
            <w:tcW w:w="2616" w:type="dxa"/>
            <w:shd w:val="clear" w:color="auto" w:fill="auto"/>
            <w:vAlign w:val="center"/>
          </w:tcPr>
          <w:p>
            <w:pPr>
              <w:adjustRightInd w:val="0"/>
              <w:snapToGrid w:val="0"/>
              <w:spacing w:line="400" w:lineRule="exact"/>
              <w:jc w:val="center"/>
              <w:rPr>
                <w:rFonts w:ascii="宋体" w:hAnsi="宋体" w:cs="宋体"/>
                <w:kern w:val="0"/>
                <w:szCs w:val="21"/>
              </w:rPr>
            </w:pPr>
            <w:r>
              <w:rPr>
                <w:rFonts w:hint="eastAsia" w:ascii="宋体" w:hAnsi="宋体" w:cs="宋体"/>
                <w:kern w:val="0"/>
                <w:szCs w:val="21"/>
              </w:rPr>
              <w:t>市</w:t>
            </w:r>
            <w:r>
              <w:rPr>
                <w:rFonts w:ascii="宋体" w:hAnsi="宋体" w:cs="宋体"/>
                <w:kern w:val="0"/>
                <w:szCs w:val="21"/>
              </w:rPr>
              <w:t>级</w:t>
            </w:r>
          </w:p>
        </w:tc>
        <w:tc>
          <w:tcPr>
            <w:tcW w:w="3308" w:type="dxa"/>
            <w:shd w:val="clear" w:color="auto" w:fill="auto"/>
            <w:vAlign w:val="center"/>
          </w:tcPr>
          <w:p>
            <w:pPr>
              <w:adjustRightInd w:val="0"/>
              <w:snapToGrid w:val="0"/>
              <w:spacing w:line="400" w:lineRule="exact"/>
              <w:jc w:val="center"/>
              <w:rPr>
                <w:rFonts w:ascii="宋体" w:hAnsi="宋体" w:eastAsia="宋体" w:cs="宋体"/>
                <w:kern w:val="0"/>
                <w:szCs w:val="21"/>
              </w:rPr>
            </w:pPr>
            <w:r>
              <w:rPr>
                <w:rFonts w:hint="eastAsia" w:ascii="宋体" w:hAnsi="宋体" w:cs="宋体"/>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2170" w:type="dxa"/>
            <w:vMerge w:val="continue"/>
            <w:shd w:val="clear" w:color="auto" w:fill="auto"/>
            <w:vAlign w:val="center"/>
          </w:tcPr>
          <w:p>
            <w:pPr>
              <w:adjustRightInd w:val="0"/>
              <w:snapToGrid w:val="0"/>
              <w:spacing w:line="400" w:lineRule="exact"/>
              <w:jc w:val="center"/>
              <w:rPr>
                <w:rFonts w:ascii="宋体" w:hAnsi="宋体" w:cs="宋体"/>
                <w:kern w:val="0"/>
                <w:szCs w:val="21"/>
              </w:rPr>
            </w:pPr>
          </w:p>
        </w:tc>
        <w:tc>
          <w:tcPr>
            <w:tcW w:w="2616" w:type="dxa"/>
            <w:shd w:val="clear" w:color="auto" w:fill="auto"/>
            <w:vAlign w:val="center"/>
          </w:tcPr>
          <w:p>
            <w:pPr>
              <w:adjustRightInd w:val="0"/>
              <w:snapToGrid w:val="0"/>
              <w:spacing w:line="400" w:lineRule="exact"/>
              <w:jc w:val="center"/>
              <w:rPr>
                <w:rFonts w:ascii="宋体" w:hAnsi="宋体" w:cs="宋体"/>
                <w:kern w:val="0"/>
                <w:szCs w:val="21"/>
              </w:rPr>
            </w:pPr>
            <w:r>
              <w:rPr>
                <w:rFonts w:ascii="宋体" w:hAnsi="宋体" w:cs="宋体"/>
                <w:kern w:val="0"/>
                <w:szCs w:val="21"/>
              </w:rPr>
              <w:t>区</w:t>
            </w:r>
            <w:r>
              <w:rPr>
                <w:rFonts w:hint="eastAsia" w:ascii="宋体" w:hAnsi="宋体" w:cs="宋体"/>
                <w:kern w:val="0"/>
                <w:szCs w:val="21"/>
              </w:rPr>
              <w:t>级</w:t>
            </w:r>
          </w:p>
        </w:tc>
        <w:tc>
          <w:tcPr>
            <w:tcW w:w="3308" w:type="dxa"/>
            <w:shd w:val="clear" w:color="auto" w:fill="auto"/>
            <w:vAlign w:val="center"/>
          </w:tcPr>
          <w:p>
            <w:pPr>
              <w:adjustRightInd w:val="0"/>
              <w:snapToGrid w:val="0"/>
              <w:spacing w:line="400" w:lineRule="exact"/>
              <w:jc w:val="center"/>
              <w:rPr>
                <w:rFonts w:ascii="宋体" w:hAnsi="宋体" w:eastAsia="宋体" w:cs="宋体"/>
                <w:kern w:val="0"/>
                <w:szCs w:val="21"/>
              </w:rPr>
            </w:pPr>
            <w:r>
              <w:rPr>
                <w:rFonts w:hint="eastAsia" w:ascii="宋体" w:hAnsi="宋体" w:cs="宋体"/>
                <w:kern w:val="0"/>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2170" w:type="dxa"/>
            <w:vMerge w:val="continue"/>
            <w:shd w:val="clear" w:color="auto" w:fill="auto"/>
            <w:vAlign w:val="center"/>
          </w:tcPr>
          <w:p>
            <w:pPr>
              <w:adjustRightInd w:val="0"/>
              <w:snapToGrid w:val="0"/>
              <w:spacing w:line="400" w:lineRule="exact"/>
              <w:jc w:val="center"/>
              <w:rPr>
                <w:rFonts w:ascii="宋体" w:hAnsi="宋体" w:cs="宋体"/>
                <w:kern w:val="0"/>
                <w:szCs w:val="21"/>
              </w:rPr>
            </w:pPr>
          </w:p>
        </w:tc>
        <w:tc>
          <w:tcPr>
            <w:tcW w:w="2616" w:type="dxa"/>
            <w:shd w:val="clear" w:color="auto" w:fill="auto"/>
            <w:vAlign w:val="center"/>
          </w:tcPr>
          <w:p>
            <w:pPr>
              <w:adjustRightInd w:val="0"/>
              <w:snapToGrid w:val="0"/>
              <w:spacing w:line="400" w:lineRule="exact"/>
              <w:jc w:val="center"/>
              <w:rPr>
                <w:rFonts w:ascii="宋体" w:hAnsi="宋体" w:cs="宋体"/>
                <w:kern w:val="0"/>
                <w:szCs w:val="21"/>
              </w:rPr>
            </w:pPr>
            <w:r>
              <w:rPr>
                <w:rFonts w:hint="eastAsia" w:ascii="宋体" w:hAnsi="宋体" w:cs="宋体"/>
                <w:kern w:val="0"/>
                <w:szCs w:val="21"/>
              </w:rPr>
              <w:t>街道（乡镇）</w:t>
            </w:r>
            <w:r>
              <w:rPr>
                <w:rFonts w:ascii="宋体" w:hAnsi="宋体" w:cs="宋体"/>
                <w:kern w:val="0"/>
                <w:szCs w:val="21"/>
              </w:rPr>
              <w:t>级</w:t>
            </w:r>
          </w:p>
        </w:tc>
        <w:tc>
          <w:tcPr>
            <w:tcW w:w="3308" w:type="dxa"/>
            <w:shd w:val="clear" w:color="auto" w:fill="auto"/>
            <w:vAlign w:val="center"/>
          </w:tcPr>
          <w:p>
            <w:pPr>
              <w:adjustRightInd w:val="0"/>
              <w:snapToGrid w:val="0"/>
              <w:spacing w:line="400" w:lineRule="exact"/>
              <w:jc w:val="center"/>
              <w:rPr>
                <w:rFonts w:ascii="宋体" w:hAnsi="宋体" w:eastAsia="宋体" w:cs="宋体"/>
                <w:kern w:val="0"/>
                <w:szCs w:val="21"/>
              </w:rPr>
            </w:pPr>
            <w:r>
              <w:rPr>
                <w:rFonts w:hint="eastAsia" w:ascii="宋体" w:hAnsi="宋体" w:cs="宋体"/>
                <w:kern w:val="0"/>
                <w:szCs w:val="21"/>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2170" w:type="dxa"/>
            <w:vMerge w:val="restart"/>
            <w:shd w:val="clear" w:color="auto" w:fill="auto"/>
            <w:vAlign w:val="center"/>
          </w:tcPr>
          <w:p>
            <w:pPr>
              <w:adjustRightInd w:val="0"/>
              <w:snapToGrid w:val="0"/>
              <w:spacing w:line="400" w:lineRule="exact"/>
              <w:jc w:val="center"/>
              <w:rPr>
                <w:rFonts w:ascii="宋体" w:hAnsi="宋体" w:cs="宋体"/>
                <w:kern w:val="0"/>
                <w:szCs w:val="21"/>
              </w:rPr>
            </w:pPr>
            <w:r>
              <w:rPr>
                <w:rFonts w:hint="eastAsia" w:ascii="宋体" w:hAnsi="宋体" w:cs="宋体"/>
                <w:kern w:val="0"/>
                <w:szCs w:val="21"/>
              </w:rPr>
              <w:t>B级</w:t>
            </w:r>
          </w:p>
        </w:tc>
        <w:tc>
          <w:tcPr>
            <w:tcW w:w="2616" w:type="dxa"/>
            <w:shd w:val="clear" w:color="auto" w:fill="auto"/>
            <w:vAlign w:val="center"/>
          </w:tcPr>
          <w:p>
            <w:pPr>
              <w:adjustRightInd w:val="0"/>
              <w:snapToGrid w:val="0"/>
              <w:spacing w:line="400" w:lineRule="exact"/>
              <w:jc w:val="center"/>
              <w:rPr>
                <w:rFonts w:ascii="宋体" w:hAnsi="宋体" w:cs="宋体"/>
                <w:kern w:val="0"/>
                <w:szCs w:val="21"/>
              </w:rPr>
            </w:pPr>
            <w:r>
              <w:rPr>
                <w:rFonts w:hint="eastAsia" w:ascii="宋体" w:hAnsi="宋体" w:cs="宋体"/>
                <w:kern w:val="0"/>
                <w:szCs w:val="21"/>
              </w:rPr>
              <w:t>市</w:t>
            </w:r>
            <w:r>
              <w:rPr>
                <w:rFonts w:ascii="宋体" w:hAnsi="宋体" w:cs="宋体"/>
                <w:kern w:val="0"/>
                <w:szCs w:val="21"/>
              </w:rPr>
              <w:t>级</w:t>
            </w:r>
          </w:p>
        </w:tc>
        <w:tc>
          <w:tcPr>
            <w:tcW w:w="3308" w:type="dxa"/>
            <w:shd w:val="clear" w:color="auto" w:fill="auto"/>
            <w:vAlign w:val="center"/>
          </w:tcPr>
          <w:p>
            <w:pPr>
              <w:adjustRightInd w:val="0"/>
              <w:snapToGrid w:val="0"/>
              <w:spacing w:line="400" w:lineRule="exact"/>
              <w:jc w:val="center"/>
              <w:rPr>
                <w:rFonts w:ascii="宋体" w:hAnsi="宋体" w:eastAsia="宋体" w:cs="宋体"/>
                <w:kern w:val="0"/>
                <w:szCs w:val="21"/>
              </w:rPr>
            </w:pPr>
            <w:r>
              <w:rPr>
                <w:rFonts w:hint="eastAsia" w:ascii="宋体" w:hAnsi="宋体" w:cs="宋体"/>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2170" w:type="dxa"/>
            <w:vMerge w:val="continue"/>
            <w:shd w:val="clear" w:color="auto" w:fill="auto"/>
            <w:vAlign w:val="center"/>
          </w:tcPr>
          <w:p>
            <w:pPr>
              <w:adjustRightInd w:val="0"/>
              <w:snapToGrid w:val="0"/>
              <w:spacing w:line="400" w:lineRule="exact"/>
              <w:jc w:val="center"/>
              <w:rPr>
                <w:rFonts w:ascii="宋体" w:hAnsi="宋体" w:cs="宋体"/>
                <w:kern w:val="0"/>
                <w:szCs w:val="21"/>
              </w:rPr>
            </w:pPr>
          </w:p>
        </w:tc>
        <w:tc>
          <w:tcPr>
            <w:tcW w:w="2616" w:type="dxa"/>
            <w:shd w:val="clear" w:color="auto" w:fill="auto"/>
            <w:vAlign w:val="center"/>
          </w:tcPr>
          <w:p>
            <w:pPr>
              <w:adjustRightInd w:val="0"/>
              <w:snapToGrid w:val="0"/>
              <w:spacing w:line="400" w:lineRule="exact"/>
              <w:jc w:val="center"/>
              <w:rPr>
                <w:rFonts w:ascii="宋体" w:hAnsi="宋体" w:cs="宋体"/>
                <w:kern w:val="0"/>
                <w:szCs w:val="21"/>
              </w:rPr>
            </w:pPr>
            <w:r>
              <w:rPr>
                <w:rFonts w:ascii="宋体" w:hAnsi="宋体" w:cs="宋体"/>
                <w:kern w:val="0"/>
                <w:szCs w:val="21"/>
              </w:rPr>
              <w:t>区</w:t>
            </w:r>
            <w:r>
              <w:rPr>
                <w:rFonts w:hint="eastAsia" w:ascii="宋体" w:hAnsi="宋体" w:cs="宋体"/>
                <w:kern w:val="0"/>
                <w:szCs w:val="21"/>
              </w:rPr>
              <w:t>级</w:t>
            </w:r>
          </w:p>
        </w:tc>
        <w:tc>
          <w:tcPr>
            <w:tcW w:w="3308" w:type="dxa"/>
            <w:shd w:val="clear" w:color="auto" w:fill="auto"/>
            <w:vAlign w:val="center"/>
          </w:tcPr>
          <w:p>
            <w:pPr>
              <w:adjustRightInd w:val="0"/>
              <w:snapToGrid w:val="0"/>
              <w:spacing w:line="400" w:lineRule="exact"/>
              <w:jc w:val="center"/>
              <w:rPr>
                <w:rFonts w:ascii="宋体" w:hAnsi="宋体" w:eastAsia="宋体" w:cs="宋体"/>
                <w:kern w:val="0"/>
                <w:szCs w:val="21"/>
              </w:rPr>
            </w:pPr>
            <w:r>
              <w:rPr>
                <w:rFonts w:hint="eastAsia" w:ascii="宋体" w:hAnsi="宋体" w:cs="宋体"/>
                <w:kern w:val="0"/>
                <w:szCs w:val="21"/>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2170" w:type="dxa"/>
            <w:vMerge w:val="continue"/>
            <w:shd w:val="clear" w:color="auto" w:fill="auto"/>
            <w:vAlign w:val="center"/>
          </w:tcPr>
          <w:p>
            <w:pPr>
              <w:adjustRightInd w:val="0"/>
              <w:snapToGrid w:val="0"/>
              <w:spacing w:line="400" w:lineRule="exact"/>
              <w:jc w:val="center"/>
              <w:rPr>
                <w:rFonts w:ascii="宋体" w:hAnsi="宋体" w:cs="宋体"/>
                <w:kern w:val="0"/>
                <w:szCs w:val="21"/>
              </w:rPr>
            </w:pPr>
          </w:p>
        </w:tc>
        <w:tc>
          <w:tcPr>
            <w:tcW w:w="2616" w:type="dxa"/>
            <w:shd w:val="clear" w:color="auto" w:fill="auto"/>
            <w:vAlign w:val="center"/>
          </w:tcPr>
          <w:p>
            <w:pPr>
              <w:adjustRightInd w:val="0"/>
              <w:snapToGrid w:val="0"/>
              <w:spacing w:line="400" w:lineRule="exact"/>
              <w:jc w:val="center"/>
              <w:rPr>
                <w:rFonts w:ascii="宋体" w:hAnsi="宋体" w:cs="宋体"/>
                <w:kern w:val="0"/>
                <w:szCs w:val="21"/>
              </w:rPr>
            </w:pPr>
            <w:r>
              <w:rPr>
                <w:rFonts w:hint="eastAsia" w:ascii="宋体" w:hAnsi="宋体" w:cs="宋体"/>
                <w:kern w:val="0"/>
                <w:szCs w:val="21"/>
              </w:rPr>
              <w:t>街道（乡镇）</w:t>
            </w:r>
            <w:r>
              <w:rPr>
                <w:rFonts w:ascii="宋体" w:hAnsi="宋体" w:cs="宋体"/>
                <w:kern w:val="0"/>
                <w:szCs w:val="21"/>
              </w:rPr>
              <w:t>级</w:t>
            </w:r>
          </w:p>
        </w:tc>
        <w:tc>
          <w:tcPr>
            <w:tcW w:w="3308" w:type="dxa"/>
            <w:shd w:val="clear" w:color="auto" w:fill="auto"/>
            <w:vAlign w:val="center"/>
          </w:tcPr>
          <w:p>
            <w:pPr>
              <w:adjustRightInd w:val="0"/>
              <w:snapToGrid w:val="0"/>
              <w:spacing w:line="400" w:lineRule="exact"/>
              <w:jc w:val="center"/>
              <w:rPr>
                <w:rFonts w:ascii="宋体" w:hAnsi="宋体" w:eastAsia="宋体" w:cs="宋体"/>
                <w:kern w:val="0"/>
                <w:szCs w:val="21"/>
              </w:rPr>
            </w:pPr>
            <w:r>
              <w:rPr>
                <w:rFonts w:hint="eastAsia" w:ascii="宋体" w:hAnsi="宋体" w:cs="宋体"/>
                <w:kern w:val="0"/>
                <w:szCs w:val="21"/>
              </w:rPr>
              <w:t>季度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2170" w:type="dxa"/>
            <w:vMerge w:val="restart"/>
            <w:shd w:val="clear" w:color="auto" w:fill="auto"/>
            <w:vAlign w:val="center"/>
          </w:tcPr>
          <w:p>
            <w:pPr>
              <w:adjustRightInd w:val="0"/>
              <w:snapToGrid w:val="0"/>
              <w:spacing w:line="400" w:lineRule="exact"/>
              <w:jc w:val="center"/>
              <w:rPr>
                <w:rFonts w:ascii="宋体" w:hAnsi="宋体" w:cs="宋体"/>
                <w:kern w:val="0"/>
                <w:szCs w:val="21"/>
              </w:rPr>
            </w:pPr>
            <w:r>
              <w:rPr>
                <w:rFonts w:hint="eastAsia" w:ascii="宋体" w:hAnsi="宋体" w:cs="宋体"/>
                <w:kern w:val="0"/>
                <w:szCs w:val="21"/>
              </w:rPr>
              <w:t>C级</w:t>
            </w:r>
          </w:p>
        </w:tc>
        <w:tc>
          <w:tcPr>
            <w:tcW w:w="2616" w:type="dxa"/>
            <w:shd w:val="clear" w:color="auto" w:fill="auto"/>
            <w:vAlign w:val="center"/>
          </w:tcPr>
          <w:p>
            <w:pPr>
              <w:adjustRightInd w:val="0"/>
              <w:snapToGrid w:val="0"/>
              <w:spacing w:line="400" w:lineRule="exact"/>
              <w:jc w:val="center"/>
              <w:rPr>
                <w:rFonts w:ascii="宋体" w:hAnsi="宋体" w:cs="宋体"/>
                <w:kern w:val="0"/>
                <w:szCs w:val="21"/>
              </w:rPr>
            </w:pPr>
            <w:r>
              <w:rPr>
                <w:rFonts w:hint="eastAsia" w:ascii="宋体" w:hAnsi="宋体" w:cs="宋体"/>
                <w:kern w:val="0"/>
                <w:szCs w:val="21"/>
              </w:rPr>
              <w:t>市</w:t>
            </w:r>
            <w:r>
              <w:rPr>
                <w:rFonts w:ascii="宋体" w:hAnsi="宋体" w:cs="宋体"/>
                <w:kern w:val="0"/>
                <w:szCs w:val="21"/>
              </w:rPr>
              <w:t>级</w:t>
            </w:r>
          </w:p>
        </w:tc>
        <w:tc>
          <w:tcPr>
            <w:tcW w:w="3308" w:type="dxa"/>
            <w:shd w:val="clear" w:color="auto" w:fill="auto"/>
            <w:vAlign w:val="center"/>
          </w:tcPr>
          <w:p>
            <w:pPr>
              <w:adjustRightInd w:val="0"/>
              <w:snapToGrid w:val="0"/>
              <w:spacing w:line="400" w:lineRule="exact"/>
              <w:jc w:val="center"/>
              <w:rPr>
                <w:rFonts w:ascii="宋体" w:hAnsi="宋体" w:eastAsia="宋体" w:cs="宋体"/>
                <w:kern w:val="0"/>
                <w:szCs w:val="21"/>
              </w:rPr>
            </w:pPr>
            <w:r>
              <w:rPr>
                <w:rFonts w:hint="eastAsia" w:ascii="宋体" w:hAnsi="宋体" w:cs="宋体"/>
                <w:kern w:val="0"/>
                <w:szCs w:val="21"/>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2170" w:type="dxa"/>
            <w:vMerge w:val="continue"/>
            <w:shd w:val="clear" w:color="auto" w:fill="auto"/>
            <w:vAlign w:val="center"/>
          </w:tcPr>
          <w:p>
            <w:pPr>
              <w:adjustRightInd w:val="0"/>
              <w:snapToGrid w:val="0"/>
              <w:spacing w:line="400" w:lineRule="exact"/>
              <w:jc w:val="center"/>
              <w:rPr>
                <w:rFonts w:ascii="宋体" w:hAnsi="宋体" w:cs="宋体"/>
                <w:kern w:val="0"/>
                <w:szCs w:val="21"/>
              </w:rPr>
            </w:pPr>
          </w:p>
        </w:tc>
        <w:tc>
          <w:tcPr>
            <w:tcW w:w="2616" w:type="dxa"/>
            <w:shd w:val="clear" w:color="auto" w:fill="auto"/>
            <w:vAlign w:val="center"/>
          </w:tcPr>
          <w:p>
            <w:pPr>
              <w:adjustRightInd w:val="0"/>
              <w:snapToGrid w:val="0"/>
              <w:spacing w:line="400" w:lineRule="exact"/>
              <w:jc w:val="center"/>
              <w:rPr>
                <w:rFonts w:ascii="宋体" w:hAnsi="宋体" w:cs="宋体"/>
                <w:kern w:val="0"/>
                <w:szCs w:val="21"/>
              </w:rPr>
            </w:pPr>
            <w:r>
              <w:rPr>
                <w:rFonts w:ascii="宋体" w:hAnsi="宋体" w:cs="宋体"/>
                <w:kern w:val="0"/>
                <w:szCs w:val="21"/>
              </w:rPr>
              <w:t>区</w:t>
            </w:r>
            <w:r>
              <w:rPr>
                <w:rFonts w:hint="eastAsia" w:ascii="宋体" w:hAnsi="宋体" w:cs="宋体"/>
                <w:kern w:val="0"/>
                <w:szCs w:val="21"/>
              </w:rPr>
              <w:t>级</w:t>
            </w:r>
          </w:p>
        </w:tc>
        <w:tc>
          <w:tcPr>
            <w:tcW w:w="3308" w:type="dxa"/>
            <w:shd w:val="clear" w:color="auto" w:fill="auto"/>
            <w:vAlign w:val="center"/>
          </w:tcPr>
          <w:p>
            <w:pPr>
              <w:adjustRightInd w:val="0"/>
              <w:snapToGrid w:val="0"/>
              <w:spacing w:line="400" w:lineRule="exact"/>
              <w:jc w:val="center"/>
              <w:rPr>
                <w:rFonts w:ascii="宋体" w:hAnsi="宋体" w:eastAsia="宋体" w:cs="宋体"/>
                <w:kern w:val="0"/>
                <w:szCs w:val="21"/>
              </w:rPr>
            </w:pPr>
            <w:r>
              <w:rPr>
                <w:rFonts w:hint="eastAsia" w:ascii="宋体" w:hAnsi="宋体" w:cs="宋体"/>
                <w:kern w:val="0"/>
                <w:szCs w:val="21"/>
              </w:rPr>
              <w:t>季度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2170" w:type="dxa"/>
            <w:vMerge w:val="continue"/>
            <w:shd w:val="clear" w:color="auto" w:fill="auto"/>
            <w:vAlign w:val="center"/>
          </w:tcPr>
          <w:p>
            <w:pPr>
              <w:adjustRightInd w:val="0"/>
              <w:snapToGrid w:val="0"/>
              <w:spacing w:line="400" w:lineRule="exact"/>
              <w:jc w:val="center"/>
              <w:rPr>
                <w:rFonts w:ascii="宋体" w:hAnsi="宋体" w:cs="宋体"/>
                <w:kern w:val="0"/>
                <w:szCs w:val="21"/>
              </w:rPr>
            </w:pPr>
          </w:p>
        </w:tc>
        <w:tc>
          <w:tcPr>
            <w:tcW w:w="2616" w:type="dxa"/>
            <w:shd w:val="clear" w:color="auto" w:fill="auto"/>
            <w:vAlign w:val="center"/>
          </w:tcPr>
          <w:p>
            <w:pPr>
              <w:adjustRightInd w:val="0"/>
              <w:snapToGrid w:val="0"/>
              <w:spacing w:line="400" w:lineRule="exact"/>
              <w:jc w:val="center"/>
              <w:rPr>
                <w:rFonts w:ascii="宋体" w:hAnsi="宋体" w:cs="宋体"/>
                <w:kern w:val="0"/>
                <w:szCs w:val="21"/>
              </w:rPr>
            </w:pPr>
            <w:r>
              <w:rPr>
                <w:rFonts w:hint="eastAsia" w:ascii="宋体" w:hAnsi="宋体" w:cs="宋体"/>
                <w:kern w:val="0"/>
                <w:szCs w:val="21"/>
              </w:rPr>
              <w:t>街道（乡镇）</w:t>
            </w:r>
            <w:r>
              <w:rPr>
                <w:rFonts w:ascii="宋体" w:hAnsi="宋体" w:cs="宋体"/>
                <w:kern w:val="0"/>
                <w:szCs w:val="21"/>
              </w:rPr>
              <w:t>级</w:t>
            </w:r>
          </w:p>
        </w:tc>
        <w:tc>
          <w:tcPr>
            <w:tcW w:w="3308" w:type="dxa"/>
            <w:shd w:val="clear" w:color="auto" w:fill="auto"/>
            <w:vAlign w:val="center"/>
          </w:tcPr>
          <w:p>
            <w:pPr>
              <w:adjustRightInd w:val="0"/>
              <w:snapToGrid w:val="0"/>
              <w:spacing w:line="400" w:lineRule="exact"/>
              <w:jc w:val="center"/>
              <w:rPr>
                <w:rFonts w:ascii="宋体" w:hAnsi="宋体" w:eastAsia="宋体" w:cs="宋体"/>
                <w:kern w:val="0"/>
                <w:szCs w:val="21"/>
              </w:rPr>
            </w:pPr>
            <w:r>
              <w:rPr>
                <w:rFonts w:hint="eastAsia" w:ascii="宋体" w:hAnsi="宋体" w:cs="宋体"/>
                <w:kern w:val="0"/>
                <w:szCs w:val="21"/>
              </w:rPr>
              <w:t>月度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2170" w:type="dxa"/>
            <w:vMerge w:val="restart"/>
            <w:shd w:val="clear" w:color="auto" w:fill="auto"/>
            <w:vAlign w:val="center"/>
          </w:tcPr>
          <w:p>
            <w:pPr>
              <w:adjustRightInd w:val="0"/>
              <w:snapToGrid w:val="0"/>
              <w:spacing w:line="400" w:lineRule="exact"/>
              <w:jc w:val="center"/>
              <w:rPr>
                <w:rFonts w:ascii="宋体" w:hAnsi="宋体" w:cs="宋体"/>
                <w:kern w:val="0"/>
                <w:szCs w:val="21"/>
              </w:rPr>
            </w:pPr>
            <w:r>
              <w:rPr>
                <w:rFonts w:hint="eastAsia" w:ascii="宋体" w:hAnsi="宋体" w:cs="宋体"/>
                <w:kern w:val="0"/>
                <w:szCs w:val="21"/>
              </w:rPr>
              <w:t>D级</w:t>
            </w:r>
          </w:p>
        </w:tc>
        <w:tc>
          <w:tcPr>
            <w:tcW w:w="2616" w:type="dxa"/>
            <w:shd w:val="clear" w:color="auto" w:fill="auto"/>
            <w:vAlign w:val="center"/>
          </w:tcPr>
          <w:p>
            <w:pPr>
              <w:adjustRightInd w:val="0"/>
              <w:snapToGrid w:val="0"/>
              <w:spacing w:line="400" w:lineRule="exact"/>
              <w:jc w:val="center"/>
              <w:rPr>
                <w:rFonts w:ascii="宋体" w:hAnsi="宋体" w:cs="宋体"/>
                <w:kern w:val="0"/>
                <w:szCs w:val="21"/>
              </w:rPr>
            </w:pPr>
            <w:r>
              <w:rPr>
                <w:rFonts w:hint="eastAsia" w:ascii="宋体" w:hAnsi="宋体" w:cs="宋体"/>
                <w:kern w:val="0"/>
                <w:szCs w:val="21"/>
              </w:rPr>
              <w:t>市</w:t>
            </w:r>
            <w:r>
              <w:rPr>
                <w:rFonts w:ascii="宋体" w:hAnsi="宋体" w:cs="宋体"/>
                <w:kern w:val="0"/>
                <w:szCs w:val="21"/>
              </w:rPr>
              <w:t>级</w:t>
            </w:r>
          </w:p>
        </w:tc>
        <w:tc>
          <w:tcPr>
            <w:tcW w:w="3308" w:type="dxa"/>
            <w:shd w:val="clear" w:color="auto" w:fill="auto"/>
            <w:vAlign w:val="center"/>
          </w:tcPr>
          <w:p>
            <w:pPr>
              <w:adjustRightInd w:val="0"/>
              <w:snapToGrid w:val="0"/>
              <w:spacing w:line="400" w:lineRule="exact"/>
              <w:jc w:val="center"/>
              <w:rPr>
                <w:rFonts w:ascii="宋体" w:hAnsi="宋体" w:eastAsia="宋体" w:cs="宋体"/>
                <w:kern w:val="0"/>
                <w:szCs w:val="21"/>
              </w:rPr>
            </w:pPr>
            <w:r>
              <w:rPr>
                <w:rFonts w:hint="eastAsia" w:ascii="宋体" w:hAnsi="宋体" w:cs="宋体"/>
                <w:kern w:val="0"/>
                <w:szCs w:val="21"/>
              </w:rPr>
              <w:t>季度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2170" w:type="dxa"/>
            <w:vMerge w:val="continue"/>
            <w:shd w:val="clear" w:color="auto" w:fill="auto"/>
            <w:vAlign w:val="center"/>
          </w:tcPr>
          <w:p>
            <w:pPr>
              <w:adjustRightInd w:val="0"/>
              <w:snapToGrid w:val="0"/>
              <w:spacing w:line="400" w:lineRule="exact"/>
              <w:jc w:val="center"/>
              <w:rPr>
                <w:rFonts w:ascii="宋体" w:hAnsi="宋体" w:cs="宋体"/>
                <w:kern w:val="0"/>
                <w:szCs w:val="21"/>
              </w:rPr>
            </w:pPr>
          </w:p>
        </w:tc>
        <w:tc>
          <w:tcPr>
            <w:tcW w:w="2616" w:type="dxa"/>
            <w:shd w:val="clear" w:color="auto" w:fill="auto"/>
            <w:vAlign w:val="center"/>
          </w:tcPr>
          <w:p>
            <w:pPr>
              <w:adjustRightInd w:val="0"/>
              <w:snapToGrid w:val="0"/>
              <w:spacing w:line="400" w:lineRule="exact"/>
              <w:jc w:val="center"/>
              <w:rPr>
                <w:rFonts w:ascii="宋体" w:hAnsi="宋体" w:cs="宋体"/>
                <w:kern w:val="0"/>
                <w:szCs w:val="21"/>
              </w:rPr>
            </w:pPr>
            <w:r>
              <w:rPr>
                <w:rFonts w:ascii="宋体" w:hAnsi="宋体" w:cs="宋体"/>
                <w:kern w:val="0"/>
                <w:szCs w:val="21"/>
              </w:rPr>
              <w:t>区</w:t>
            </w:r>
            <w:r>
              <w:rPr>
                <w:rFonts w:hint="eastAsia" w:ascii="宋体" w:hAnsi="宋体" w:cs="宋体"/>
                <w:kern w:val="0"/>
                <w:szCs w:val="21"/>
              </w:rPr>
              <w:t>级</w:t>
            </w:r>
          </w:p>
        </w:tc>
        <w:tc>
          <w:tcPr>
            <w:tcW w:w="3308" w:type="dxa"/>
            <w:shd w:val="clear" w:color="auto" w:fill="auto"/>
            <w:vAlign w:val="center"/>
          </w:tcPr>
          <w:p>
            <w:pPr>
              <w:adjustRightInd w:val="0"/>
              <w:snapToGrid w:val="0"/>
              <w:spacing w:line="400" w:lineRule="exact"/>
              <w:jc w:val="center"/>
              <w:rPr>
                <w:rFonts w:ascii="宋体" w:hAnsi="宋体" w:eastAsia="宋体" w:cs="宋体"/>
                <w:kern w:val="0"/>
                <w:szCs w:val="21"/>
              </w:rPr>
            </w:pPr>
            <w:r>
              <w:rPr>
                <w:rFonts w:hint="eastAsia" w:ascii="宋体" w:hAnsi="宋体" w:cs="宋体"/>
                <w:kern w:val="0"/>
                <w:szCs w:val="21"/>
              </w:rPr>
              <w:t>月度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2170" w:type="dxa"/>
            <w:vMerge w:val="continue"/>
            <w:shd w:val="clear" w:color="auto" w:fill="auto"/>
            <w:vAlign w:val="center"/>
          </w:tcPr>
          <w:p>
            <w:pPr>
              <w:adjustRightInd w:val="0"/>
              <w:snapToGrid w:val="0"/>
              <w:spacing w:line="400" w:lineRule="exact"/>
              <w:jc w:val="center"/>
              <w:rPr>
                <w:rFonts w:ascii="宋体" w:hAnsi="宋体" w:cs="宋体"/>
                <w:kern w:val="0"/>
                <w:szCs w:val="21"/>
              </w:rPr>
            </w:pPr>
          </w:p>
        </w:tc>
        <w:tc>
          <w:tcPr>
            <w:tcW w:w="2616" w:type="dxa"/>
            <w:shd w:val="clear" w:color="auto" w:fill="auto"/>
            <w:vAlign w:val="center"/>
          </w:tcPr>
          <w:p>
            <w:pPr>
              <w:adjustRightInd w:val="0"/>
              <w:snapToGrid w:val="0"/>
              <w:spacing w:line="400" w:lineRule="exact"/>
              <w:jc w:val="center"/>
              <w:rPr>
                <w:rFonts w:ascii="宋体" w:hAnsi="宋体" w:cs="宋体"/>
                <w:kern w:val="0"/>
                <w:szCs w:val="21"/>
              </w:rPr>
            </w:pPr>
            <w:r>
              <w:rPr>
                <w:rFonts w:hint="eastAsia" w:ascii="宋体" w:hAnsi="宋体" w:cs="宋体"/>
                <w:kern w:val="0"/>
                <w:szCs w:val="21"/>
              </w:rPr>
              <w:t>街道（乡镇）</w:t>
            </w:r>
            <w:r>
              <w:rPr>
                <w:rFonts w:ascii="宋体" w:hAnsi="宋体" w:cs="宋体"/>
                <w:kern w:val="0"/>
                <w:szCs w:val="21"/>
              </w:rPr>
              <w:t>级</w:t>
            </w:r>
          </w:p>
        </w:tc>
        <w:tc>
          <w:tcPr>
            <w:tcW w:w="3308" w:type="dxa"/>
            <w:shd w:val="clear" w:color="auto" w:fill="auto"/>
            <w:vAlign w:val="center"/>
          </w:tcPr>
          <w:p>
            <w:pPr>
              <w:adjustRightInd w:val="0"/>
              <w:snapToGrid w:val="0"/>
              <w:spacing w:line="400" w:lineRule="exact"/>
              <w:jc w:val="center"/>
              <w:rPr>
                <w:rFonts w:ascii="宋体" w:hAnsi="宋体" w:eastAsia="宋体" w:cs="宋体"/>
                <w:kern w:val="0"/>
                <w:szCs w:val="21"/>
              </w:rPr>
            </w:pPr>
            <w:r>
              <w:rPr>
                <w:rFonts w:hint="eastAsia" w:ascii="宋体" w:hAnsi="宋体" w:cs="宋体"/>
                <w:kern w:val="0"/>
                <w:szCs w:val="21"/>
              </w:rPr>
              <w:t>双周</w:t>
            </w:r>
          </w:p>
        </w:tc>
      </w:tr>
    </w:tbl>
    <w:p>
      <w:pPr>
        <w:pStyle w:val="12"/>
        <w:spacing w:line="400" w:lineRule="exact"/>
        <w:ind w:firstLine="640" w:firstLineChars="200"/>
        <w:rPr>
          <w:rFonts w:ascii="仿宋_GB2312" w:hAnsi="Times New Roman" w:eastAsia="仿宋_GB2312" w:cs="Times New Roman"/>
          <w:b/>
          <w:bCs/>
          <w:sz w:val="32"/>
          <w:szCs w:val="32"/>
        </w:rPr>
      </w:pPr>
    </w:p>
    <w:p>
      <w:pPr>
        <w:pStyle w:val="12"/>
        <w:spacing w:line="560" w:lineRule="exact"/>
        <w:ind w:firstLine="640" w:firstLineChars="200"/>
        <w:rPr>
          <w:rFonts w:ascii="黑体" w:hAnsi="黑体" w:eastAsia="黑体" w:cs="黑体"/>
          <w:color w:val="000000" w:themeColor="text1"/>
          <w:kern w:val="0"/>
          <w:sz w:val="32"/>
          <w:szCs w:val="32"/>
        </w:rPr>
      </w:pPr>
      <w:r>
        <w:rPr>
          <w:rFonts w:hint="eastAsia" w:ascii="仿宋_GB2312" w:hAnsi="Times New Roman" w:eastAsia="仿宋_GB2312" w:cs="Times New Roman"/>
          <w:b/>
          <w:bCs/>
          <w:sz w:val="32"/>
          <w:szCs w:val="32"/>
        </w:rPr>
        <w:t>第六条</w:t>
      </w:r>
      <w:r>
        <w:rPr>
          <w:rFonts w:hint="eastAsia" w:ascii="仿宋_GB2312" w:hAnsi="Times New Roman" w:eastAsia="仿宋_GB2312" w:cs="Times New Roman"/>
          <w:sz w:val="32"/>
          <w:szCs w:val="32"/>
        </w:rPr>
        <w:t xml:space="preserve">  </w:t>
      </w:r>
      <w:r>
        <w:rPr>
          <w:rFonts w:hint="eastAsia" w:ascii="仿宋_GB2312" w:eastAsia="仿宋_GB2312"/>
          <w:bCs/>
          <w:color w:val="000000" w:themeColor="text1"/>
          <w:sz w:val="32"/>
          <w:szCs w:val="32"/>
        </w:rPr>
        <w:t>市住房和城乡建设主管部门负责建立全市统一的住宅项目物业服务</w:t>
      </w:r>
      <w:r>
        <w:rPr>
          <w:rFonts w:hint="eastAsia" w:ascii="仿宋_GB2312" w:eastAsia="仿宋_GB2312" w:hAnsiTheme="minorHAnsi"/>
          <w:bCs/>
          <w:color w:val="000000" w:themeColor="text1"/>
          <w:sz w:val="32"/>
          <w:szCs w:val="32"/>
        </w:rPr>
        <w:t>分类分级监管</w:t>
      </w:r>
      <w:r>
        <w:rPr>
          <w:rFonts w:hint="eastAsia" w:ascii="仿宋_GB2312" w:eastAsia="仿宋_GB2312"/>
          <w:bCs/>
          <w:color w:val="000000" w:themeColor="text1"/>
          <w:sz w:val="32"/>
          <w:szCs w:val="32"/>
        </w:rPr>
        <w:t>制度，指导区</w:t>
      </w:r>
      <w:r>
        <w:rPr>
          <w:rFonts w:hint="eastAsia" w:ascii="仿宋_GB2312" w:eastAsia="仿宋_GB2312" w:hAnsiTheme="minorHAnsi"/>
          <w:bCs/>
          <w:color w:val="000000" w:themeColor="text1"/>
          <w:sz w:val="32"/>
          <w:szCs w:val="32"/>
        </w:rPr>
        <w:t>住</w:t>
      </w:r>
      <w:r>
        <w:rPr>
          <w:rFonts w:hint="eastAsia" w:ascii="仿宋_GB2312" w:eastAsia="仿宋_GB2312"/>
          <w:bCs/>
          <w:color w:val="000000" w:themeColor="text1"/>
          <w:sz w:val="32"/>
          <w:szCs w:val="32"/>
        </w:rPr>
        <w:t>房和城乡</w:t>
      </w:r>
      <w:r>
        <w:rPr>
          <w:rFonts w:hint="eastAsia" w:ascii="仿宋_GB2312" w:eastAsia="仿宋_GB2312" w:hAnsiTheme="minorHAnsi"/>
          <w:bCs/>
          <w:color w:val="000000" w:themeColor="text1"/>
          <w:sz w:val="32"/>
          <w:szCs w:val="32"/>
        </w:rPr>
        <w:t>建</w:t>
      </w:r>
      <w:r>
        <w:rPr>
          <w:rFonts w:hint="eastAsia" w:ascii="仿宋_GB2312" w:eastAsia="仿宋_GB2312"/>
          <w:bCs/>
          <w:color w:val="000000" w:themeColor="text1"/>
          <w:sz w:val="32"/>
          <w:szCs w:val="32"/>
        </w:rPr>
        <w:t>设或者</w:t>
      </w:r>
      <w:r>
        <w:rPr>
          <w:rFonts w:hint="eastAsia" w:ascii="仿宋_GB2312" w:eastAsia="仿宋_GB2312" w:hAnsiTheme="minorHAnsi"/>
          <w:bCs/>
          <w:color w:val="000000" w:themeColor="text1"/>
          <w:sz w:val="32"/>
          <w:szCs w:val="32"/>
        </w:rPr>
        <w:t>房屋</w:t>
      </w:r>
      <w:r>
        <w:rPr>
          <w:rFonts w:hint="eastAsia" w:ascii="仿宋_GB2312" w:eastAsia="仿宋_GB2312"/>
          <w:bCs/>
          <w:color w:val="000000" w:themeColor="text1"/>
          <w:sz w:val="32"/>
          <w:szCs w:val="32"/>
        </w:rPr>
        <w:t>主管</w:t>
      </w:r>
      <w:r>
        <w:rPr>
          <w:rFonts w:hint="eastAsia" w:ascii="仿宋_GB2312" w:eastAsia="仿宋_GB2312" w:hAnsiTheme="minorHAnsi"/>
          <w:bCs/>
          <w:color w:val="000000" w:themeColor="text1"/>
          <w:sz w:val="32"/>
          <w:szCs w:val="32"/>
        </w:rPr>
        <w:t>部门</w:t>
      </w:r>
      <w:r>
        <w:rPr>
          <w:rFonts w:hint="eastAsia" w:ascii="仿宋_GB2312" w:eastAsia="仿宋_GB2312"/>
          <w:bCs/>
          <w:color w:val="000000" w:themeColor="text1"/>
          <w:sz w:val="32"/>
          <w:szCs w:val="32"/>
        </w:rPr>
        <w:t>开展</w:t>
      </w:r>
      <w:r>
        <w:rPr>
          <w:rFonts w:hint="eastAsia" w:ascii="仿宋_GB2312" w:eastAsia="仿宋_GB2312" w:hAnsiTheme="minorHAnsi"/>
          <w:bCs/>
          <w:color w:val="000000" w:themeColor="text1"/>
          <w:sz w:val="32"/>
          <w:szCs w:val="32"/>
        </w:rPr>
        <w:t>分类分级监管</w:t>
      </w:r>
      <w:r>
        <w:rPr>
          <w:rFonts w:hint="eastAsia" w:ascii="仿宋_GB2312" w:eastAsia="仿宋_GB2312"/>
          <w:bCs/>
          <w:color w:val="000000" w:themeColor="text1"/>
          <w:sz w:val="32"/>
          <w:szCs w:val="32"/>
        </w:rPr>
        <w:t>工作。</w:t>
      </w:r>
      <w:r>
        <w:rPr>
          <w:rFonts w:hint="eastAsia" w:ascii="仿宋_GB2312" w:eastAsia="仿宋_GB2312" w:hAnsiTheme="minorHAnsi"/>
          <w:bCs/>
          <w:color w:val="000000" w:themeColor="text1"/>
          <w:sz w:val="32"/>
          <w:szCs w:val="32"/>
        </w:rPr>
        <w:t>区住</w:t>
      </w:r>
      <w:r>
        <w:rPr>
          <w:rFonts w:hint="eastAsia" w:ascii="仿宋_GB2312" w:eastAsia="仿宋_GB2312"/>
          <w:bCs/>
          <w:color w:val="000000" w:themeColor="text1"/>
          <w:sz w:val="32"/>
          <w:szCs w:val="32"/>
        </w:rPr>
        <w:t>房和城乡</w:t>
      </w:r>
      <w:r>
        <w:rPr>
          <w:rFonts w:hint="eastAsia" w:ascii="仿宋_GB2312" w:eastAsia="仿宋_GB2312" w:hAnsiTheme="minorHAnsi"/>
          <w:bCs/>
          <w:color w:val="000000" w:themeColor="text1"/>
          <w:sz w:val="32"/>
          <w:szCs w:val="32"/>
        </w:rPr>
        <w:t>建</w:t>
      </w:r>
      <w:r>
        <w:rPr>
          <w:rFonts w:hint="eastAsia" w:ascii="仿宋_GB2312" w:eastAsia="仿宋_GB2312"/>
          <w:bCs/>
          <w:color w:val="000000" w:themeColor="text1"/>
          <w:sz w:val="32"/>
          <w:szCs w:val="32"/>
        </w:rPr>
        <w:t>设或者</w:t>
      </w:r>
      <w:r>
        <w:rPr>
          <w:rFonts w:hint="eastAsia" w:ascii="仿宋_GB2312" w:eastAsia="仿宋_GB2312" w:hAnsiTheme="minorHAnsi"/>
          <w:bCs/>
          <w:color w:val="000000" w:themeColor="text1"/>
          <w:sz w:val="32"/>
          <w:szCs w:val="32"/>
        </w:rPr>
        <w:t>房屋</w:t>
      </w:r>
      <w:r>
        <w:rPr>
          <w:rFonts w:hint="eastAsia" w:ascii="仿宋_GB2312" w:eastAsia="仿宋_GB2312"/>
          <w:bCs/>
          <w:color w:val="000000" w:themeColor="text1"/>
          <w:sz w:val="32"/>
          <w:szCs w:val="32"/>
        </w:rPr>
        <w:t>主管</w:t>
      </w:r>
      <w:r>
        <w:rPr>
          <w:rFonts w:hint="eastAsia" w:ascii="仿宋_GB2312" w:eastAsia="仿宋_GB2312" w:hAnsiTheme="minorHAnsi"/>
          <w:bCs/>
          <w:color w:val="000000" w:themeColor="text1"/>
          <w:sz w:val="32"/>
          <w:szCs w:val="32"/>
        </w:rPr>
        <w:t>部门负责</w:t>
      </w:r>
      <w:r>
        <w:rPr>
          <w:rFonts w:hint="eastAsia" w:ascii="仿宋_GB2312" w:eastAsia="仿宋_GB2312"/>
          <w:bCs/>
          <w:color w:val="000000" w:themeColor="text1"/>
          <w:sz w:val="32"/>
          <w:szCs w:val="32"/>
        </w:rPr>
        <w:t>指导街道办事处、乡镇人民政府，</w:t>
      </w:r>
      <w:r>
        <w:rPr>
          <w:rFonts w:hint="eastAsia" w:ascii="仿宋_GB2312" w:eastAsia="仿宋_GB2312" w:hAnsiTheme="minorHAnsi"/>
          <w:bCs/>
          <w:color w:val="000000" w:themeColor="text1"/>
          <w:sz w:val="32"/>
          <w:szCs w:val="32"/>
        </w:rPr>
        <w:t>对</w:t>
      </w:r>
      <w:r>
        <w:rPr>
          <w:rFonts w:hint="eastAsia" w:ascii="仿宋_GB2312" w:eastAsia="仿宋_GB2312"/>
          <w:bCs/>
          <w:color w:val="000000" w:themeColor="text1"/>
          <w:sz w:val="32"/>
          <w:szCs w:val="32"/>
        </w:rPr>
        <w:t>本</w:t>
      </w:r>
      <w:r>
        <w:rPr>
          <w:rFonts w:hint="eastAsia" w:ascii="仿宋_GB2312" w:eastAsia="仿宋_GB2312" w:hAnsiTheme="minorHAnsi"/>
          <w:bCs/>
          <w:color w:val="000000" w:themeColor="text1"/>
          <w:sz w:val="32"/>
          <w:szCs w:val="32"/>
        </w:rPr>
        <w:t>辖区住宅项目物业服务</w:t>
      </w:r>
      <w:r>
        <w:rPr>
          <w:rFonts w:hint="eastAsia" w:ascii="仿宋_GB2312" w:eastAsia="仿宋_GB2312"/>
          <w:bCs/>
          <w:color w:val="000000" w:themeColor="text1"/>
          <w:sz w:val="32"/>
          <w:szCs w:val="32"/>
        </w:rPr>
        <w:t>进行</w:t>
      </w:r>
      <w:r>
        <w:rPr>
          <w:rFonts w:hint="eastAsia" w:ascii="仿宋_GB2312" w:eastAsia="仿宋_GB2312" w:hAnsiTheme="minorHAnsi"/>
          <w:bCs/>
          <w:color w:val="000000" w:themeColor="text1"/>
          <w:sz w:val="32"/>
          <w:szCs w:val="32"/>
        </w:rPr>
        <w:t>分类分级监管评估，</w:t>
      </w:r>
      <w:r>
        <w:rPr>
          <w:rFonts w:hint="eastAsia" w:ascii="仿宋_GB2312" w:eastAsia="仿宋_GB2312"/>
          <w:bCs/>
          <w:color w:val="000000" w:themeColor="text1"/>
          <w:sz w:val="32"/>
          <w:szCs w:val="32"/>
        </w:rPr>
        <w:t>建立</w:t>
      </w:r>
      <w:r>
        <w:rPr>
          <w:rFonts w:hint="eastAsia" w:ascii="仿宋_GB2312" w:eastAsia="仿宋_GB2312" w:hAnsiTheme="minorHAnsi"/>
          <w:bCs/>
          <w:color w:val="000000" w:themeColor="text1"/>
          <w:sz w:val="32"/>
          <w:szCs w:val="32"/>
        </w:rPr>
        <w:t>分类分级监管</w:t>
      </w:r>
      <w:r>
        <w:rPr>
          <w:rFonts w:hint="eastAsia" w:ascii="仿宋_GB2312" w:eastAsia="仿宋_GB2312"/>
          <w:bCs/>
          <w:color w:val="000000" w:themeColor="text1"/>
          <w:sz w:val="32"/>
          <w:szCs w:val="32"/>
        </w:rPr>
        <w:t>档案台帐。街道办事处、乡镇人民政府负责本辖区内住宅项目物业服务日常监管检查，及时归集</w:t>
      </w:r>
      <w:r>
        <w:rPr>
          <w:rFonts w:hint="eastAsia" w:ascii="仿宋_GB2312" w:eastAsia="仿宋_GB2312" w:hAnsiTheme="minorHAnsi"/>
          <w:bCs/>
          <w:color w:val="000000" w:themeColor="text1"/>
          <w:sz w:val="32"/>
          <w:szCs w:val="32"/>
        </w:rPr>
        <w:t>风险和信用监管</w:t>
      </w:r>
      <w:r>
        <w:rPr>
          <w:rFonts w:hint="eastAsia" w:ascii="仿宋_GB2312" w:eastAsia="仿宋_GB2312"/>
          <w:bCs/>
          <w:color w:val="000000" w:themeColor="text1"/>
          <w:sz w:val="32"/>
          <w:szCs w:val="32"/>
        </w:rPr>
        <w:t>信息，具体组织分类分级评估。住宅项目物业服务分级分类监管实行动态管理，以一年为一个周期，更新分类分级监管档案台帐。</w:t>
      </w:r>
    </w:p>
    <w:p>
      <w:pPr>
        <w:autoSpaceDE w:val="0"/>
        <w:autoSpaceDN w:val="0"/>
        <w:adjustRightInd w:val="0"/>
        <w:spacing w:line="560" w:lineRule="exact"/>
        <w:rPr>
          <w:rFonts w:ascii="黑体" w:hAnsi="黑体" w:eastAsia="黑体" w:cs="黑体"/>
          <w:bCs/>
          <w:color w:val="000000" w:themeColor="text1"/>
          <w:kern w:val="0"/>
          <w:sz w:val="32"/>
          <w:szCs w:val="32"/>
        </w:rPr>
      </w:pPr>
    </w:p>
    <w:p>
      <w:pPr>
        <w:widowControl/>
        <w:jc w:val="left"/>
        <w:rPr>
          <w:rFonts w:ascii="黑体" w:hAnsi="黑体" w:eastAsia="黑体" w:cs="黑体"/>
          <w:bCs/>
          <w:color w:val="000000"/>
          <w:kern w:val="0"/>
          <w:sz w:val="32"/>
          <w:szCs w:val="32"/>
        </w:rPr>
      </w:pPr>
      <w:r>
        <w:rPr>
          <w:rFonts w:ascii="黑体" w:hAnsi="黑体" w:eastAsia="黑体" w:cs="黑体"/>
          <w:bCs/>
          <w:color w:val="000000"/>
          <w:kern w:val="0"/>
          <w:sz w:val="32"/>
          <w:szCs w:val="32"/>
        </w:rPr>
        <w:br w:type="page"/>
      </w:r>
    </w:p>
    <w:p>
      <w:pPr>
        <w:autoSpaceDE w:val="0"/>
        <w:autoSpaceDN w:val="0"/>
        <w:adjustRightInd w:val="0"/>
        <w:spacing w:line="560" w:lineRule="exact"/>
      </w:pPr>
      <w:r>
        <w:rPr>
          <w:rFonts w:hint="eastAsia" w:ascii="黑体" w:hAnsi="黑体" w:eastAsia="黑体" w:cs="黑体"/>
          <w:bCs/>
          <w:color w:val="000000"/>
          <w:kern w:val="0"/>
          <w:sz w:val="32"/>
          <w:szCs w:val="32"/>
        </w:rPr>
        <w:t>附件4</w:t>
      </w:r>
    </w:p>
    <w:p>
      <w:pPr>
        <w:autoSpaceDE w:val="0"/>
        <w:autoSpaceDN w:val="0"/>
        <w:adjustRightInd w:val="0"/>
        <w:spacing w:line="560" w:lineRule="exact"/>
        <w:jc w:val="center"/>
        <w:rPr>
          <w:rFonts w:ascii="方正小标宋简体" w:hAnsi="方正小标宋简体" w:eastAsia="方正小标宋简体" w:cs="方正小标宋简体"/>
          <w:bCs/>
          <w:color w:val="000000"/>
          <w:kern w:val="0"/>
          <w:sz w:val="44"/>
          <w:szCs w:val="44"/>
        </w:rPr>
      </w:pPr>
    </w:p>
    <w:p>
      <w:pPr>
        <w:autoSpaceDE w:val="0"/>
        <w:autoSpaceDN w:val="0"/>
        <w:adjustRightInd w:val="0"/>
        <w:spacing w:line="560" w:lineRule="exact"/>
        <w:jc w:val="center"/>
        <w:rPr>
          <w:rFonts w:ascii="黑体" w:hAnsi="黑体" w:eastAsia="黑体" w:cs="黑体"/>
          <w:color w:val="000000" w:themeColor="text1"/>
          <w:kern w:val="0"/>
          <w:sz w:val="32"/>
          <w:szCs w:val="32"/>
        </w:rPr>
      </w:pPr>
      <w:r>
        <w:rPr>
          <w:rFonts w:hint="eastAsia" w:ascii="方正小标宋简体" w:hAnsi="方正小标宋简体" w:eastAsia="方正小标宋简体" w:cs="方正小标宋简体"/>
          <w:bCs/>
          <w:color w:val="000000"/>
          <w:kern w:val="0"/>
          <w:sz w:val="44"/>
          <w:szCs w:val="44"/>
        </w:rPr>
        <w:t>住宅项目物业服务联合监管制度</w:t>
      </w:r>
    </w:p>
    <w:p>
      <w:pPr>
        <w:autoSpaceDE w:val="0"/>
        <w:autoSpaceDN w:val="0"/>
        <w:adjustRightInd w:val="0"/>
        <w:spacing w:line="560" w:lineRule="exact"/>
        <w:ind w:firstLine="640" w:firstLineChars="200"/>
        <w:rPr>
          <w:rFonts w:ascii="仿宋_GB2312" w:hAnsi="仿宋_GB2312" w:eastAsia="仿宋_GB2312" w:cs="仿宋_GB2312"/>
          <w:b/>
          <w:bCs/>
          <w:kern w:val="0"/>
          <w:sz w:val="32"/>
          <w:szCs w:val="32"/>
        </w:rPr>
      </w:pPr>
    </w:p>
    <w:p>
      <w:pPr>
        <w:spacing w:line="560" w:lineRule="exact"/>
        <w:ind w:firstLine="659" w:firstLineChars="206"/>
        <w:rPr>
          <w:rStyle w:val="42"/>
          <w:rFonts w:ascii="仿宋_GB2312" w:hAnsi="Arial" w:eastAsia="仿宋_GB2312" w:cs="黑体"/>
          <w:bCs/>
          <w:color w:val="000000"/>
          <w:kern w:val="44"/>
          <w:sz w:val="32"/>
          <w:szCs w:val="32"/>
        </w:rPr>
      </w:pPr>
      <w:r>
        <w:rPr>
          <w:rFonts w:hint="eastAsia" w:ascii="仿宋_GB2312" w:hAnsi="仿宋_GB2312" w:eastAsia="仿宋_GB2312" w:cs="仿宋_GB2312"/>
          <w:b/>
          <w:bCs/>
          <w:kern w:val="0"/>
          <w:sz w:val="32"/>
          <w:szCs w:val="32"/>
        </w:rPr>
        <w:t>第一条</w:t>
      </w:r>
      <w:r>
        <w:rPr>
          <w:rFonts w:hint="eastAsia" w:ascii="仿宋_GB2312" w:hAnsi="仿宋_GB2312" w:eastAsia="仿宋_GB2312" w:cs="仿宋_GB2312"/>
          <w:kern w:val="0"/>
          <w:sz w:val="32"/>
          <w:szCs w:val="32"/>
        </w:rPr>
        <w:t xml:space="preserve">  为构建党建引领社区治理框架下的物业管理体系，</w:t>
      </w:r>
      <w:r>
        <w:rPr>
          <w:rStyle w:val="42"/>
          <w:rFonts w:hint="eastAsia" w:ascii="仿宋_GB2312" w:hAnsi="Arial" w:eastAsia="仿宋_GB2312"/>
          <w:color w:val="000000"/>
          <w:sz w:val="32"/>
          <w:szCs w:val="32"/>
        </w:rPr>
        <w:t xml:space="preserve"> </w:t>
      </w:r>
      <w:r>
        <w:rPr>
          <w:rStyle w:val="42"/>
          <w:rFonts w:ascii="仿宋_GB2312" w:hAnsi="Arial" w:eastAsia="仿宋_GB2312"/>
          <w:color w:val="000000"/>
          <w:sz w:val="32"/>
          <w:szCs w:val="32"/>
        </w:rPr>
        <w:t>充分发挥</w:t>
      </w:r>
      <w:r>
        <w:rPr>
          <w:rStyle w:val="42"/>
          <w:rFonts w:hint="eastAsia" w:ascii="仿宋_GB2312" w:hAnsi="Arial" w:eastAsia="仿宋_GB2312"/>
          <w:color w:val="000000"/>
          <w:sz w:val="32"/>
          <w:szCs w:val="32"/>
        </w:rPr>
        <w:t>“</w:t>
      </w:r>
      <w:r>
        <w:rPr>
          <w:rStyle w:val="42"/>
          <w:rFonts w:ascii="仿宋_GB2312" w:hAnsi="Arial" w:eastAsia="仿宋_GB2312"/>
          <w:color w:val="000000"/>
          <w:sz w:val="32"/>
          <w:szCs w:val="32"/>
        </w:rPr>
        <w:t>吹哨报</w:t>
      </w:r>
      <w:r>
        <w:rPr>
          <w:rStyle w:val="42"/>
          <w:rFonts w:hint="eastAsia" w:ascii="仿宋_GB2312" w:hAnsi="Arial" w:eastAsia="仿宋_GB2312"/>
          <w:color w:val="000000"/>
          <w:sz w:val="32"/>
          <w:szCs w:val="32"/>
        </w:rPr>
        <w:t>到”工作机制和部门牵头专项治理执法优势，</w:t>
      </w:r>
      <w:r>
        <w:rPr>
          <w:rFonts w:hint="eastAsia" w:ascii="仿宋_GB2312" w:hAnsi="仿宋_GB2312" w:eastAsia="仿宋_GB2312" w:cs="仿宋_GB2312"/>
          <w:kern w:val="0"/>
          <w:sz w:val="32"/>
          <w:szCs w:val="32"/>
        </w:rPr>
        <w:t>建立物业服务事中、事后监管联合执法机制，加大</w:t>
      </w:r>
      <w:r>
        <w:rPr>
          <w:rStyle w:val="42"/>
          <w:rFonts w:hint="eastAsia" w:ascii="仿宋_GB2312" w:hAnsi="Arial" w:eastAsia="仿宋_GB2312" w:cs="黑体"/>
          <w:bCs/>
          <w:color w:val="000000"/>
          <w:kern w:val="44"/>
          <w:sz w:val="32"/>
          <w:szCs w:val="32"/>
        </w:rPr>
        <w:t>住宅项目各类违法问题的执法力度，按照联合、共治、治理理念，切实提高物业服务综合监管水平，特制定本制度。</w:t>
      </w:r>
    </w:p>
    <w:p>
      <w:pPr>
        <w:spacing w:line="560" w:lineRule="exact"/>
        <w:ind w:firstLine="659" w:firstLineChars="206"/>
        <w:rPr>
          <w:rFonts w:ascii="仿宋_GB2312" w:hAnsi="宋体" w:eastAsia="仿宋_GB2312" w:cs="宋体"/>
          <w:color w:val="000000"/>
          <w:kern w:val="0"/>
          <w:sz w:val="32"/>
          <w:szCs w:val="32"/>
        </w:rPr>
      </w:pPr>
      <w:r>
        <w:rPr>
          <w:rFonts w:hint="eastAsia" w:ascii="仿宋_GB2312" w:hAnsi="仿宋_GB2312" w:eastAsia="仿宋_GB2312" w:cs="仿宋_GB2312"/>
          <w:b/>
          <w:bCs/>
          <w:kern w:val="0"/>
          <w:sz w:val="32"/>
          <w:szCs w:val="32"/>
        </w:rPr>
        <w:t>第二条</w:t>
      </w:r>
      <w:r>
        <w:rPr>
          <w:rFonts w:hint="eastAsia" w:ascii="仿宋_GB2312" w:hAnsi="仿宋_GB2312" w:eastAsia="仿宋_GB2312" w:cs="仿宋_GB2312"/>
          <w:kern w:val="0"/>
          <w:sz w:val="32"/>
          <w:szCs w:val="32"/>
        </w:rPr>
        <w:t xml:space="preserve">  </w:t>
      </w:r>
      <w:r>
        <w:rPr>
          <w:rFonts w:hint="eastAsia" w:ascii="仿宋_GB2312" w:hAnsi="宋体" w:eastAsia="仿宋_GB2312" w:cs="宋体"/>
          <w:color w:val="000000"/>
          <w:kern w:val="0"/>
          <w:sz w:val="32"/>
          <w:szCs w:val="32"/>
        </w:rPr>
        <w:t>以问题为导向，</w:t>
      </w:r>
      <w:r>
        <w:rPr>
          <w:rFonts w:hint="eastAsia" w:ascii="仿宋_GB2312" w:hAnsi="楷体" w:eastAsia="仿宋_GB2312"/>
          <w:color w:val="000000"/>
          <w:sz w:val="32"/>
          <w:szCs w:val="32"/>
        </w:rPr>
        <w:t>突出以人民为中心，</w:t>
      </w:r>
      <w:r>
        <w:rPr>
          <w:rStyle w:val="42"/>
          <w:rFonts w:hint="eastAsia" w:ascii="仿宋_GB2312" w:hAnsi="Arial" w:eastAsia="仿宋_GB2312"/>
          <w:color w:val="000000"/>
          <w:sz w:val="32"/>
          <w:szCs w:val="32"/>
        </w:rPr>
        <w:t>开展联合执法检查。</w:t>
      </w:r>
      <w:r>
        <w:rPr>
          <w:rFonts w:hint="eastAsia" w:ascii="仿宋_GB2312" w:hAnsi="宋体" w:eastAsia="仿宋_GB2312" w:cs="宋体"/>
          <w:color w:val="000000"/>
          <w:kern w:val="0"/>
          <w:sz w:val="32"/>
          <w:szCs w:val="32"/>
        </w:rPr>
        <w:t>明确各职能部门执法职责清单，理顺部门职责。各部门、</w:t>
      </w:r>
      <w:r>
        <w:rPr>
          <w:rStyle w:val="42"/>
          <w:rFonts w:hint="eastAsia" w:ascii="仿宋" w:hAnsi="仿宋" w:eastAsia="仿宋"/>
          <w:color w:val="000000"/>
          <w:sz w:val="32"/>
          <w:szCs w:val="32"/>
        </w:rPr>
        <w:t>街道（乡镇）</w:t>
      </w:r>
      <w:r>
        <w:rPr>
          <w:rFonts w:hint="eastAsia" w:ascii="仿宋_GB2312" w:hAnsi="宋体" w:eastAsia="仿宋_GB2312" w:cs="宋体"/>
          <w:color w:val="000000"/>
          <w:kern w:val="0"/>
          <w:sz w:val="32"/>
          <w:szCs w:val="32"/>
        </w:rPr>
        <w:t>充分利用接诉即办数据、“风险+信用”评价结果，按照四级九等，根据分工，运用</w:t>
      </w:r>
      <w:r>
        <w:rPr>
          <w:rStyle w:val="42"/>
          <w:rFonts w:hint="eastAsia" w:ascii="仿宋_GB2312" w:hAnsi="Arial" w:eastAsia="仿宋_GB2312"/>
          <w:color w:val="000000"/>
          <w:sz w:val="32"/>
          <w:szCs w:val="32"/>
        </w:rPr>
        <w:t>“</w:t>
      </w:r>
      <w:r>
        <w:rPr>
          <w:rStyle w:val="42"/>
          <w:rFonts w:ascii="仿宋_GB2312" w:hAnsi="Arial" w:eastAsia="仿宋_GB2312"/>
          <w:color w:val="000000"/>
          <w:sz w:val="32"/>
          <w:szCs w:val="32"/>
        </w:rPr>
        <w:t>吹哨报</w:t>
      </w:r>
      <w:r>
        <w:rPr>
          <w:rStyle w:val="42"/>
          <w:rFonts w:hint="eastAsia" w:ascii="仿宋_GB2312" w:hAnsi="Arial" w:eastAsia="仿宋_GB2312"/>
          <w:color w:val="000000"/>
          <w:sz w:val="32"/>
          <w:szCs w:val="32"/>
        </w:rPr>
        <w:t>到”和部门牵头专项治理工作机制，</w:t>
      </w:r>
      <w:r>
        <w:rPr>
          <w:rFonts w:hint="eastAsia" w:ascii="仿宋_GB2312" w:hAnsi="宋体" w:eastAsia="仿宋_GB2312" w:cs="宋体"/>
          <w:color w:val="000000"/>
          <w:kern w:val="0"/>
          <w:sz w:val="32"/>
          <w:szCs w:val="32"/>
        </w:rPr>
        <w:t>开展联合执法。</w:t>
      </w:r>
    </w:p>
    <w:p>
      <w:pPr>
        <w:adjustRightInd w:val="0"/>
        <w:snapToGrid w:val="0"/>
        <w:spacing w:line="56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b/>
          <w:color w:val="000000"/>
          <w:kern w:val="0"/>
          <w:sz w:val="32"/>
          <w:szCs w:val="32"/>
        </w:rPr>
        <w:t xml:space="preserve">第三条  </w:t>
      </w:r>
      <w:r>
        <w:rPr>
          <w:rFonts w:hint="eastAsia" w:ascii="仿宋_GB2312" w:hAnsi="宋体" w:eastAsia="仿宋_GB2312" w:cs="宋体"/>
          <w:color w:val="000000"/>
          <w:kern w:val="0"/>
          <w:sz w:val="32"/>
          <w:szCs w:val="32"/>
        </w:rPr>
        <w:t>市住房城乡建设委会同城市管理、公安、消防救援、规划自然资源、水务、市场监督管理、</w:t>
      </w:r>
      <w:r>
        <w:rPr>
          <w:rFonts w:hint="eastAsia" w:ascii="仿宋_GB2312" w:eastAsia="仿宋_GB2312"/>
          <w:bCs/>
          <w:color w:val="000000" w:themeColor="text1"/>
          <w:sz w:val="32"/>
          <w:szCs w:val="32"/>
        </w:rPr>
        <w:t>园林绿化、人防</w:t>
      </w:r>
      <w:r>
        <w:rPr>
          <w:rFonts w:hint="eastAsia" w:ascii="仿宋_GB2312" w:hAnsi="宋体" w:eastAsia="仿宋_GB2312" w:cs="宋体"/>
          <w:color w:val="000000"/>
          <w:kern w:val="0"/>
          <w:sz w:val="32"/>
          <w:szCs w:val="32"/>
        </w:rPr>
        <w:t>等在住宅项目有执法职责的职能部门，加强接诉即办数据分析，结合部门职责，针对各自领域突出问题，组织开展部门统筹的专项治理综合执法。根据“风险+信用”的评价结果以及检查频次要求，或者针对引发重大舆情、问题突出的住宅项目，市住房城乡建设委可牵头组织市级各部门开展联合执法检查。</w:t>
      </w:r>
    </w:p>
    <w:p>
      <w:pPr>
        <w:adjustRightInd w:val="0"/>
        <w:snapToGrid w:val="0"/>
        <w:spacing w:line="56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b/>
          <w:color w:val="000000"/>
          <w:kern w:val="0"/>
          <w:sz w:val="32"/>
          <w:szCs w:val="32"/>
        </w:rPr>
        <w:t xml:space="preserve">第四条  </w:t>
      </w:r>
      <w:r>
        <w:rPr>
          <w:rFonts w:hint="eastAsia" w:ascii="仿宋_GB2312" w:hAnsi="宋体" w:eastAsia="仿宋_GB2312" w:cs="宋体"/>
          <w:bCs/>
          <w:color w:val="000000"/>
          <w:kern w:val="0"/>
          <w:sz w:val="32"/>
          <w:szCs w:val="32"/>
        </w:rPr>
        <w:t>区住房城乡（市）建设委（房管局）</w:t>
      </w:r>
      <w:r>
        <w:rPr>
          <w:rFonts w:hint="eastAsia" w:ascii="仿宋_GB2312" w:hAnsi="宋体" w:eastAsia="仿宋_GB2312" w:cs="宋体"/>
          <w:color w:val="000000"/>
          <w:kern w:val="0"/>
          <w:sz w:val="32"/>
          <w:szCs w:val="32"/>
        </w:rPr>
        <w:t>作为各区住宅项目联合执法的牵头部门，根据“风险+信用”评价结果以及检查频次要求，组织各部门以及属地街道（乡镇）开展联合执法。</w:t>
      </w:r>
    </w:p>
    <w:p>
      <w:pPr>
        <w:adjustRightInd w:val="0"/>
        <w:snapToGrid w:val="0"/>
        <w:spacing w:line="560" w:lineRule="exac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同时指导各街道（乡镇）根据“风险+信用”评价结果做好联合执法工作</w:t>
      </w:r>
      <w:r>
        <w:rPr>
          <w:rStyle w:val="42"/>
          <w:rFonts w:hint="eastAsia" w:ascii="仿宋_GB2312" w:hAnsi="Arial" w:eastAsia="仿宋_GB2312"/>
          <w:color w:val="000000"/>
          <w:sz w:val="32"/>
          <w:szCs w:val="32"/>
        </w:rPr>
        <w:t>。</w:t>
      </w:r>
    </w:p>
    <w:p>
      <w:pPr>
        <w:widowControl/>
        <w:spacing w:line="560" w:lineRule="exact"/>
        <w:ind w:firstLine="640" w:firstLineChars="200"/>
        <w:rPr>
          <w:rStyle w:val="42"/>
          <w:rFonts w:ascii="仿宋" w:hAnsi="仿宋" w:eastAsia="仿宋"/>
          <w:color w:val="000000"/>
          <w:sz w:val="32"/>
          <w:szCs w:val="32"/>
        </w:rPr>
      </w:pPr>
      <w:r>
        <w:rPr>
          <w:rFonts w:hint="eastAsia" w:ascii="仿宋_GB2312" w:hAnsi="宋体" w:eastAsia="仿宋_GB2312" w:cs="宋体"/>
          <w:b/>
          <w:color w:val="000000"/>
          <w:kern w:val="0"/>
          <w:sz w:val="32"/>
          <w:szCs w:val="32"/>
        </w:rPr>
        <w:t xml:space="preserve">第五条  </w:t>
      </w:r>
      <w:r>
        <w:rPr>
          <w:rStyle w:val="42"/>
          <w:rFonts w:hint="eastAsia" w:ascii="仿宋" w:hAnsi="仿宋" w:eastAsia="仿宋"/>
          <w:color w:val="000000"/>
          <w:sz w:val="32"/>
          <w:szCs w:val="32"/>
        </w:rPr>
        <w:t>各街道（乡镇）充分依托接诉即办机制，根据</w:t>
      </w:r>
      <w:r>
        <w:rPr>
          <w:rFonts w:hint="eastAsia" w:ascii="仿宋_GB2312" w:hAnsi="宋体" w:eastAsia="仿宋_GB2312" w:cs="宋体"/>
          <w:color w:val="000000"/>
          <w:kern w:val="0"/>
          <w:sz w:val="32"/>
          <w:szCs w:val="32"/>
        </w:rPr>
        <w:t>“风险+信用”评价结果以及检查频次要求，依据职责精准吹哨，重点针对新生违法问题、苗头问题、遗留复杂问题等</w:t>
      </w:r>
      <w:r>
        <w:rPr>
          <w:rStyle w:val="42"/>
          <w:rFonts w:hint="eastAsia" w:ascii="仿宋" w:hAnsi="仿宋" w:eastAsia="仿宋"/>
          <w:color w:val="000000"/>
          <w:sz w:val="32"/>
          <w:szCs w:val="32"/>
        </w:rPr>
        <w:t>开展执法。</w:t>
      </w: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rPr>
          <w:rFonts w:ascii="黑体" w:hAnsi="黑体" w:eastAsia="黑体" w:cs="黑体"/>
          <w:bCs/>
          <w:color w:val="000000"/>
          <w:kern w:val="0"/>
          <w:sz w:val="32"/>
          <w:szCs w:val="32"/>
        </w:rPr>
      </w:pPr>
    </w:p>
    <w:p>
      <w:pPr>
        <w:pStyle w:val="2"/>
        <w:numPr>
          <w:ilvl w:val="0"/>
          <w:numId w:val="0"/>
        </w:numPr>
      </w:pP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pPr>
      <w:r>
        <w:rPr>
          <w:rFonts w:hint="eastAsia" w:ascii="黑体" w:hAnsi="黑体" w:eastAsia="黑体" w:cs="黑体"/>
          <w:bCs/>
          <w:color w:val="000000"/>
          <w:kern w:val="0"/>
          <w:sz w:val="32"/>
          <w:szCs w:val="32"/>
        </w:rPr>
        <w:t>附件5</w:t>
      </w:r>
    </w:p>
    <w:p>
      <w:pPr>
        <w:autoSpaceDE w:val="0"/>
        <w:autoSpaceDN w:val="0"/>
        <w:adjustRightInd w:val="0"/>
        <w:spacing w:line="560" w:lineRule="exact"/>
        <w:ind w:firstLine="880" w:firstLineChars="200"/>
        <w:jc w:val="center"/>
        <w:rPr>
          <w:rFonts w:ascii="方正小标宋简体" w:hAnsi="方正小标宋简体" w:eastAsia="方正小标宋简体" w:cs="方正小标宋简体"/>
          <w:bCs/>
          <w:color w:val="000000"/>
          <w:kern w:val="0"/>
          <w:sz w:val="44"/>
          <w:szCs w:val="44"/>
        </w:rPr>
      </w:pPr>
    </w:p>
    <w:p>
      <w:pPr>
        <w:autoSpaceDE w:val="0"/>
        <w:autoSpaceDN w:val="0"/>
        <w:adjustRightInd w:val="0"/>
        <w:spacing w:line="560" w:lineRule="exact"/>
        <w:jc w:val="center"/>
        <w:rPr>
          <w:rFonts w:ascii="黑体" w:hAnsi="黑体" w:eastAsia="黑体" w:cs="黑体"/>
          <w:color w:val="000000"/>
          <w:kern w:val="0"/>
          <w:sz w:val="32"/>
          <w:szCs w:val="32"/>
        </w:rPr>
      </w:pPr>
      <w:r>
        <w:rPr>
          <w:rFonts w:hint="eastAsia" w:ascii="方正小标宋简体" w:hAnsi="方正小标宋简体" w:eastAsia="方正小标宋简体" w:cs="方正小标宋简体"/>
          <w:bCs/>
          <w:color w:val="000000"/>
          <w:kern w:val="0"/>
          <w:sz w:val="44"/>
          <w:szCs w:val="44"/>
        </w:rPr>
        <w:t>住宅物业项目备案及信息采集工作制度</w:t>
      </w:r>
    </w:p>
    <w:p>
      <w:pPr>
        <w:autoSpaceDE w:val="0"/>
        <w:autoSpaceDN w:val="0"/>
        <w:adjustRightInd w:val="0"/>
        <w:spacing w:line="560" w:lineRule="exact"/>
        <w:rPr>
          <w:rFonts w:ascii="黑体" w:hAnsi="黑体" w:eastAsia="黑体" w:cs="黑体"/>
          <w:color w:val="000000"/>
          <w:kern w:val="0"/>
          <w:sz w:val="32"/>
          <w:szCs w:val="32"/>
        </w:rPr>
      </w:pPr>
    </w:p>
    <w:p>
      <w:pPr>
        <w:autoSpaceDE w:val="0"/>
        <w:autoSpaceDN w:val="0"/>
        <w:adjustRightInd w:val="0"/>
        <w:spacing w:line="560" w:lineRule="exact"/>
        <w:ind w:firstLine="640" w:firstLineChars="200"/>
      </w:pPr>
      <w:r>
        <w:rPr>
          <w:rFonts w:hint="eastAsia" w:ascii="仿宋_GB2312" w:hAnsi="仿宋_GB2312" w:eastAsia="仿宋_GB2312" w:cs="仿宋_GB2312"/>
          <w:b/>
          <w:bCs/>
          <w:sz w:val="32"/>
          <w:szCs w:val="32"/>
        </w:rPr>
        <w:t>第一条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kern w:val="0"/>
          <w:sz w:val="32"/>
          <w:szCs w:val="32"/>
        </w:rPr>
        <w:t>为进一步提升住宅项目物业服务综合监管效率，提升物业管理信息化、数字化水平，推动智慧物业建设，根据《北京市物业管理条例》及相关规定，特制定本制度。</w:t>
      </w:r>
    </w:p>
    <w:p>
      <w:pPr>
        <w:overflowPunct w:val="0"/>
        <w:spacing w:line="560" w:lineRule="exact"/>
        <w:ind w:firstLine="640" w:firstLineChars="200"/>
        <w:rPr>
          <w:rFonts w:ascii="仿宋_GB2312" w:hAnsi="Times New Roman" w:eastAsia="仿宋_GB2312" w:cs="Times New Roman"/>
          <w:sz w:val="32"/>
          <w:szCs w:val="32"/>
        </w:rPr>
      </w:pPr>
      <w:r>
        <w:rPr>
          <w:rFonts w:hint="eastAsia" w:ascii="仿宋_GB2312" w:hAnsi="仿宋_GB2312" w:eastAsia="仿宋_GB2312" w:cs="仿宋_GB2312"/>
          <w:b/>
          <w:bCs/>
          <w:sz w:val="32"/>
          <w:szCs w:val="32"/>
        </w:rPr>
        <w:t>第二条</w:t>
      </w:r>
      <w:r>
        <w:rPr>
          <w:rFonts w:hint="eastAsia" w:ascii="仿宋_GB2312" w:hAnsi="仿宋_GB2312" w:eastAsia="仿宋_GB2312" w:cs="仿宋_GB2312"/>
          <w:sz w:val="32"/>
          <w:szCs w:val="32"/>
        </w:rPr>
        <w:t xml:space="preserve">  </w:t>
      </w:r>
      <w:r>
        <w:rPr>
          <w:rFonts w:hint="eastAsia" w:ascii="仿宋_GB2312" w:hAnsi="Times New Roman" w:eastAsia="仿宋_GB2312" w:cs="Times New Roman"/>
          <w:sz w:val="32"/>
          <w:szCs w:val="32"/>
        </w:rPr>
        <w:t>市住房城乡建设委负责制定住宅物业项目备案相关规定、物业管理系统维护及技术保障以及开展技术培训；区住房城乡（市）建设委（房管局）负责住宅物业项目备案及各方填报内容的核准；街道办事处、乡镇人民政府负责住宅物业项目备案审核及相应内容的填报。</w:t>
      </w:r>
    </w:p>
    <w:p>
      <w:pPr>
        <w:overflowPunct w:val="0"/>
        <w:spacing w:line="560" w:lineRule="exact"/>
        <w:ind w:firstLine="640" w:firstLineChars="200"/>
        <w:rPr>
          <w:rFonts w:ascii="仿宋_GB2312" w:hAnsi="Times New Roman" w:eastAsia="仿宋_GB2312" w:cs="Times New Roman"/>
          <w:sz w:val="32"/>
          <w:szCs w:val="32"/>
        </w:rPr>
      </w:pPr>
      <w:r>
        <w:rPr>
          <w:rFonts w:hint="eastAsia" w:ascii="仿宋_GB2312" w:eastAsia="仿宋_GB2312" w:cs="Times New Roman"/>
          <w:b/>
          <w:bCs/>
          <w:sz w:val="32"/>
          <w:szCs w:val="32"/>
        </w:rPr>
        <w:t>第三条</w:t>
      </w:r>
      <w:r>
        <w:rPr>
          <w:rFonts w:hint="eastAsia" w:ascii="仿宋_GB2312" w:eastAsia="仿宋_GB2312" w:cs="Times New Roman"/>
          <w:sz w:val="32"/>
          <w:szCs w:val="32"/>
        </w:rPr>
        <w:t xml:space="preserve">  </w:t>
      </w:r>
      <w:r>
        <w:rPr>
          <w:rFonts w:hint="eastAsia" w:ascii="仿宋_GB2312" w:hAnsi="Times New Roman" w:eastAsia="仿宋_GB2312" w:cs="Times New Roman"/>
          <w:sz w:val="32"/>
          <w:szCs w:val="32"/>
        </w:rPr>
        <w:t>物业服务人应当在住宅项目物业服务合同签订或者变更之日起15日内进行项目备案。</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物业服务企业登录北京市住房和城乡建设委员会门户网站（http://zjw.beijing.gov.cn/)，其他物业服务人</w:t>
      </w:r>
      <w:r>
        <w:rPr>
          <w:rFonts w:hint="eastAsia" w:ascii="仿宋_GB2312" w:hAnsi="Times New Roman" w:eastAsia="仿宋_GB2312" w:cs="Times New Roman"/>
          <w:sz w:val="32"/>
          <w:szCs w:val="32"/>
        </w:rPr>
        <w:t>登录北京市物业管理系统</w:t>
      </w:r>
      <w:r>
        <w:rPr>
          <w:rFonts w:hint="eastAsia" w:ascii="仿宋_GB2312" w:hAnsi="仿宋_GB2312" w:eastAsia="仿宋_GB2312" w:cs="仿宋_GB2312"/>
          <w:sz w:val="32"/>
          <w:szCs w:val="32"/>
        </w:rPr>
        <w:t>（</w:t>
      </w:r>
      <w:r>
        <w:fldChar w:fldCharType="begin"/>
      </w:r>
      <w:r>
        <w:instrText xml:space="preserve"> HYPERLINK "http://120.52.185.106:83/" \l "/login" </w:instrText>
      </w:r>
      <w:r>
        <w:fldChar w:fldCharType="separate"/>
      </w:r>
      <w:r>
        <w:rPr>
          <w:rFonts w:ascii="仿宋_GB2312" w:hAnsi="仿宋_GB2312" w:eastAsia="仿宋_GB2312" w:cs="仿宋_GB2312"/>
          <w:sz w:val="32"/>
          <w:szCs w:val="32"/>
        </w:rPr>
        <w:t>http://120.52.185.106:83/#/login</w:t>
      </w:r>
      <w:r>
        <w:rPr>
          <w:rFonts w:ascii="仿宋_GB2312" w:hAnsi="仿宋_GB2312" w:eastAsia="仿宋_GB2312" w:cs="仿宋_GB2312"/>
          <w:sz w:val="32"/>
          <w:szCs w:val="32"/>
        </w:rPr>
        <w:fldChar w:fldCharType="end"/>
      </w:r>
      <w:r>
        <w:rPr>
          <w:rFonts w:hint="eastAsia" w:ascii="仿宋_GB2312" w:hAnsi="仿宋_GB2312" w:eastAsia="仿宋_GB2312" w:cs="仿宋_GB2312"/>
          <w:sz w:val="32"/>
          <w:szCs w:val="32"/>
        </w:rPr>
        <w:t>），进入北京市物业管理系统填报北京市住宅物业项目信息采集表（见附件），上传物业服务合同或者相关材料。</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Times New Roman" w:eastAsia="仿宋_GB2312" w:cs="Times New Roman"/>
          <w:sz w:val="32"/>
          <w:szCs w:val="32"/>
        </w:rPr>
        <w:t>街道办事处、乡镇人民政府登录北京市物业管理系统</w:t>
      </w:r>
      <w:r>
        <w:rPr>
          <w:rFonts w:hint="eastAsia" w:ascii="仿宋_GB2312" w:hAnsi="仿宋_GB2312" w:eastAsia="仿宋_GB2312" w:cs="仿宋_GB2312"/>
          <w:sz w:val="32"/>
          <w:szCs w:val="32"/>
        </w:rPr>
        <w:t>（</w:t>
      </w:r>
      <w:r>
        <w:fldChar w:fldCharType="begin"/>
      </w:r>
      <w:r>
        <w:instrText xml:space="preserve"> HYPERLINK "http://120.52.185.106:83/" \l "/login" </w:instrText>
      </w:r>
      <w:r>
        <w:fldChar w:fldCharType="separate"/>
      </w:r>
      <w:r>
        <w:rPr>
          <w:rFonts w:ascii="仿宋_GB2312" w:hAnsi="仿宋_GB2312" w:eastAsia="仿宋_GB2312" w:cs="仿宋_GB2312"/>
          <w:sz w:val="32"/>
          <w:szCs w:val="32"/>
        </w:rPr>
        <w:t>http://120.52.185.106:83/#/login</w:t>
      </w:r>
      <w:r>
        <w:rPr>
          <w:rFonts w:ascii="仿宋_GB2312" w:hAnsi="仿宋_GB2312" w:eastAsia="仿宋_GB2312" w:cs="仿宋_GB2312"/>
          <w:sz w:val="32"/>
          <w:szCs w:val="32"/>
        </w:rPr>
        <w:fldChar w:fldCharType="end"/>
      </w:r>
      <w:r>
        <w:rPr>
          <w:rFonts w:hint="eastAsia" w:ascii="仿宋_GB2312" w:hAnsi="仿宋_GB2312" w:eastAsia="仿宋_GB2312" w:cs="仿宋_GB2312"/>
          <w:sz w:val="32"/>
          <w:szCs w:val="32"/>
        </w:rPr>
        <w:t>）填报北京市住宅物业项目信息采集表。</w:t>
      </w:r>
    </w:p>
    <w:p>
      <w:pPr>
        <w:overflowPunct w:val="0"/>
        <w:spacing w:line="560" w:lineRule="exact"/>
        <w:ind w:firstLine="640" w:firstLineChars="200"/>
        <w:jc w:val="left"/>
        <w:rPr>
          <w:rFonts w:ascii="仿宋_GB2312" w:hAnsi="仿宋" w:eastAsia="仿宋_GB2312" w:cs="Times New Roman"/>
          <w:sz w:val="32"/>
          <w:szCs w:val="32"/>
        </w:rPr>
      </w:pPr>
      <w:r>
        <w:rPr>
          <w:rFonts w:hint="eastAsia" w:ascii="仿宋_GB2312" w:hAnsi="仿宋_GB2312" w:eastAsia="仿宋_GB2312" w:cs="仿宋_GB2312"/>
          <w:sz w:val="32"/>
          <w:szCs w:val="32"/>
        </w:rPr>
        <w:t>北京市住宅物业项目信息采集表中</w:t>
      </w:r>
      <w:r>
        <w:rPr>
          <w:rFonts w:hint="eastAsia" w:ascii="仿宋_GB2312" w:hAnsi="仿宋" w:eastAsia="仿宋_GB2312" w:cs="Times New Roman"/>
          <w:sz w:val="32"/>
          <w:szCs w:val="32"/>
        </w:rPr>
        <w:t>业主委员会（物业管理委员会）、党组织相关内容由街道办事处、乡镇人民政府填写，其余内容由物业服务人填写。</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第四条</w:t>
      </w:r>
      <w:r>
        <w:rPr>
          <w:rFonts w:hint="eastAsia" w:ascii="仿宋_GB2312" w:hAnsi="仿宋_GB2312" w:eastAsia="仿宋_GB2312" w:cs="仿宋_GB2312"/>
          <w:sz w:val="32"/>
          <w:szCs w:val="32"/>
        </w:rPr>
        <w:t xml:space="preserve">  物业服务人全部填写完成北京市住宅物业项目信息采集表中相应内容并上传物业服务合同或者相关材料后，可以自行下载《办理结果通知书》。　</w:t>
      </w:r>
    </w:p>
    <w:p>
      <w:pPr>
        <w:overflowPunct w:val="0"/>
        <w:spacing w:line="560" w:lineRule="exact"/>
        <w:ind w:firstLine="640" w:firstLineChars="200"/>
        <w:jc w:val="left"/>
        <w:rPr>
          <w:rFonts w:ascii="仿宋_GB2312" w:hAnsi="仿宋" w:eastAsia="仿宋_GB2312" w:cs="Times New Roman"/>
          <w:sz w:val="32"/>
          <w:szCs w:val="32"/>
        </w:rPr>
      </w:pPr>
      <w:r>
        <w:rPr>
          <w:rFonts w:hint="eastAsia" w:ascii="仿宋_GB2312" w:hAnsi="仿宋_GB2312" w:eastAsia="仿宋_GB2312" w:cs="仿宋_GB2312"/>
          <w:b/>
          <w:bCs/>
          <w:sz w:val="32"/>
          <w:szCs w:val="32"/>
        </w:rPr>
        <w:t>第五条</w:t>
      </w:r>
      <w:r>
        <w:rPr>
          <w:rFonts w:hint="eastAsia" w:ascii="仿宋_GB2312" w:hAnsi="仿宋_GB2312" w:eastAsia="仿宋_GB2312" w:cs="仿宋_GB2312"/>
          <w:sz w:val="32"/>
          <w:szCs w:val="32"/>
        </w:rPr>
        <w:t xml:space="preserve">  北京市住宅物业项目信息采集表中填报内容发生</w:t>
      </w:r>
      <w:r>
        <w:rPr>
          <w:rFonts w:hint="eastAsia" w:ascii="仿宋_GB2312" w:hAnsi="仿宋" w:eastAsia="仿宋_GB2312" w:cs="Times New Roman"/>
          <w:sz w:val="32"/>
          <w:szCs w:val="32"/>
        </w:rPr>
        <w:t>变更的，物业服务人应当自发生变更之日起15日内重新填报相关内容。其中，</w:t>
      </w:r>
      <w:r>
        <w:rPr>
          <w:rFonts w:hint="eastAsia" w:ascii="仿宋_GB2312" w:hAnsi="仿宋_GB2312" w:eastAsia="仿宋_GB2312" w:cs="仿宋_GB2312"/>
          <w:sz w:val="32"/>
          <w:szCs w:val="32"/>
        </w:rPr>
        <w:t>北京市住宅物业项目信息采集表中</w:t>
      </w:r>
      <w:r>
        <w:rPr>
          <w:rFonts w:hint="eastAsia" w:ascii="仿宋_GB2312" w:hAnsi="仿宋" w:eastAsia="仿宋_GB2312" w:cs="Times New Roman"/>
          <w:sz w:val="32"/>
          <w:szCs w:val="32"/>
        </w:rPr>
        <w:t>业主委员会（物业管理委员会）、党组织相关内容</w:t>
      </w:r>
      <w:r>
        <w:rPr>
          <w:rFonts w:hint="eastAsia" w:ascii="仿宋_GB2312" w:hAnsi="仿宋_GB2312" w:eastAsia="仿宋_GB2312" w:cs="仿宋_GB2312"/>
          <w:sz w:val="32"/>
          <w:szCs w:val="32"/>
        </w:rPr>
        <w:t>发生</w:t>
      </w:r>
      <w:r>
        <w:rPr>
          <w:rFonts w:hint="eastAsia" w:ascii="仿宋_GB2312" w:hAnsi="仿宋" w:eastAsia="仿宋_GB2312" w:cs="Times New Roman"/>
          <w:sz w:val="32"/>
          <w:szCs w:val="32"/>
        </w:rPr>
        <w:t xml:space="preserve">变更的，由街道办事处、乡镇人民政府自发生变更之日起15日内重新填报相关内容。 </w:t>
      </w:r>
    </w:p>
    <w:p>
      <w:pPr>
        <w:overflowPunct w:val="0"/>
        <w:spacing w:line="560" w:lineRule="exact"/>
        <w:ind w:firstLine="640" w:firstLineChars="200"/>
        <w:rPr>
          <w:rFonts w:ascii="仿宋_GB2312" w:eastAsia="仿宋_GB2312"/>
          <w:sz w:val="32"/>
          <w:szCs w:val="32"/>
        </w:rPr>
      </w:pPr>
      <w:r>
        <w:rPr>
          <w:rFonts w:hint="eastAsia" w:ascii="仿宋_GB2312" w:hAnsi="仿宋" w:eastAsia="仿宋_GB2312" w:cs="Times New Roman"/>
          <w:b/>
          <w:bCs/>
          <w:sz w:val="32"/>
          <w:szCs w:val="32"/>
        </w:rPr>
        <w:t>第六条</w:t>
      </w:r>
      <w:r>
        <w:rPr>
          <w:rFonts w:hint="eastAsia" w:ascii="仿宋_GB2312" w:hAnsi="仿宋" w:eastAsia="仿宋_GB2312" w:cs="Times New Roman"/>
          <w:sz w:val="32"/>
          <w:szCs w:val="32"/>
        </w:rPr>
        <w:t xml:space="preserve">  </w:t>
      </w:r>
      <w:r>
        <w:rPr>
          <w:rFonts w:hint="eastAsia" w:ascii="仿宋_GB2312" w:hAnsi="仿宋_GB2312" w:eastAsia="仿宋_GB2312" w:cs="仿宋_GB2312"/>
          <w:sz w:val="32"/>
          <w:szCs w:val="32"/>
        </w:rPr>
        <w:t>物业服务人在做好项目信息采集工作的基础上，应按要求</w:t>
      </w:r>
      <w:r>
        <w:rPr>
          <w:rFonts w:hint="eastAsia" w:ascii="仿宋_GB2312" w:hAnsi="仿宋" w:eastAsia="仿宋_GB2312"/>
          <w:color w:val="333333"/>
          <w:sz w:val="32"/>
          <w:szCs w:val="32"/>
          <w:shd w:val="clear" w:color="auto" w:fill="FFFFFF"/>
        </w:rPr>
        <w:t>填写上传上一年度物业服务合同履行及物业服务项目收支情况、本年度物业服务项目收支预算。</w:t>
      </w:r>
      <w:r>
        <w:rPr>
          <w:rFonts w:hint="eastAsia" w:ascii="仿宋_GB2312" w:eastAsia="仿宋_GB2312"/>
          <w:sz w:val="32"/>
          <w:szCs w:val="32"/>
        </w:rPr>
        <w:t xml:space="preserve">    </w:t>
      </w:r>
    </w:p>
    <w:p>
      <w:pPr>
        <w:overflowPunct w:val="0"/>
        <w:spacing w:line="560" w:lineRule="exact"/>
        <w:ind w:firstLine="640" w:firstLineChars="200"/>
        <w:jc w:val="left"/>
        <w:rPr>
          <w:rFonts w:ascii="仿宋_GB2312" w:hAnsi="仿宋_GB2312" w:eastAsia="仿宋_GB2312" w:cs="仿宋_GB2312"/>
          <w:b/>
          <w:bCs/>
          <w:sz w:val="32"/>
          <w:szCs w:val="32"/>
        </w:rPr>
      </w:pPr>
      <w:r>
        <w:rPr>
          <w:rFonts w:hint="eastAsia" w:ascii="仿宋_GB2312" w:eastAsia="仿宋_GB2312"/>
          <w:b/>
          <w:bCs/>
          <w:sz w:val="32"/>
          <w:szCs w:val="32"/>
        </w:rPr>
        <w:t xml:space="preserve">第七条 </w:t>
      </w:r>
      <w:r>
        <w:rPr>
          <w:rFonts w:hint="eastAsia" w:ascii="仿宋_GB2312" w:eastAsia="仿宋_GB2312"/>
          <w:sz w:val="32"/>
          <w:szCs w:val="32"/>
        </w:rPr>
        <w:t xml:space="preserve"> 各区住房城乡（市）建设委（房管局）、街道（乡镇）要积极履行主体责任，做好辖区内住宅物业管理区域“北京业主”APP投票表决活动的全面协调和监督指导工作，着力提升北京业主”APP的使用效能，方便业主电子投票表决。</w:t>
      </w: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rPr>
          <w:rFonts w:ascii="黑体" w:hAnsi="黑体" w:eastAsia="黑体" w:cs="黑体"/>
          <w:bCs/>
          <w:color w:val="000000"/>
          <w:kern w:val="0"/>
          <w:sz w:val="32"/>
          <w:szCs w:val="32"/>
        </w:rPr>
      </w:pPr>
    </w:p>
    <w:p>
      <w:pPr>
        <w:autoSpaceDE w:val="0"/>
        <w:autoSpaceDN w:val="0"/>
        <w:adjustRightInd w:val="0"/>
        <w:spacing w:line="560" w:lineRule="exact"/>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附件6</w:t>
      </w:r>
    </w:p>
    <w:p>
      <w:pPr>
        <w:pStyle w:val="12"/>
        <w:spacing w:line="560" w:lineRule="exact"/>
        <w:jc w:val="center"/>
        <w:rPr>
          <w:rFonts w:ascii="方正小标宋简体" w:hAnsi="方正小标宋简体" w:eastAsia="方正小标宋简体" w:cs="方正小标宋简体"/>
          <w:bCs/>
          <w:color w:val="000000"/>
          <w:kern w:val="0"/>
          <w:sz w:val="44"/>
          <w:szCs w:val="44"/>
        </w:rPr>
      </w:pPr>
    </w:p>
    <w:p>
      <w:pPr>
        <w:pStyle w:val="12"/>
        <w:spacing w:line="560" w:lineRule="exact"/>
        <w:jc w:val="center"/>
        <w:rPr>
          <w:rFonts w:ascii="方正小标宋简体" w:hAnsi="方正小标宋简体" w:eastAsia="方正小标宋简体" w:cs="方正小标宋简体"/>
          <w:bCs/>
          <w:color w:val="000000"/>
          <w:kern w:val="0"/>
          <w:sz w:val="44"/>
          <w:szCs w:val="44"/>
        </w:rPr>
      </w:pPr>
      <w:r>
        <w:rPr>
          <w:rFonts w:hint="eastAsia" w:ascii="方正小标宋简体" w:hAnsi="方正小标宋简体" w:eastAsia="方正小标宋简体" w:cs="方正小标宋简体"/>
          <w:bCs/>
          <w:color w:val="000000"/>
          <w:kern w:val="0"/>
          <w:sz w:val="44"/>
          <w:szCs w:val="44"/>
        </w:rPr>
        <w:t>住宅项目物业服务综合监管共治制度</w:t>
      </w:r>
    </w:p>
    <w:p>
      <w:pPr>
        <w:pStyle w:val="12"/>
        <w:spacing w:line="560" w:lineRule="exact"/>
        <w:jc w:val="center"/>
        <w:rPr>
          <w:rFonts w:ascii="方正小标宋简体" w:hAnsi="方正小标宋简体" w:eastAsia="方正小标宋简体" w:cs="方正小标宋简体"/>
          <w:bCs/>
          <w:color w:val="000000"/>
          <w:kern w:val="0"/>
          <w:sz w:val="32"/>
          <w:szCs w:val="32"/>
        </w:rPr>
      </w:pPr>
    </w:p>
    <w:p>
      <w:pPr>
        <w:overflowPunct w:val="0"/>
        <w:spacing w:line="560" w:lineRule="exact"/>
        <w:ind w:firstLine="640"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第一条 </w:t>
      </w:r>
      <w:r>
        <w:rPr>
          <w:rFonts w:hint="eastAsia" w:ascii="仿宋_GB2312" w:hAnsi="仿宋_GB2312" w:eastAsia="仿宋_GB2312" w:cs="仿宋_GB2312"/>
          <w:sz w:val="32"/>
          <w:szCs w:val="32"/>
        </w:rPr>
        <w:t>为构建党建引领社区治理框架下的物业管理体系，坚持党委领导、政府主导、居民自治、多方参与、协商共建、行业自律的共治工作格局，充分发挥街道（乡镇）社区党组织在基层治理中的领导核心作用，特制定本制度。</w:t>
      </w:r>
    </w:p>
    <w:p>
      <w:pPr>
        <w:overflowPunct w:val="0"/>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b/>
          <w:bCs/>
          <w:sz w:val="32"/>
          <w:szCs w:val="32"/>
        </w:rPr>
        <w:t xml:space="preserve">第二条 </w:t>
      </w:r>
      <w:r>
        <w:rPr>
          <w:rFonts w:hint="eastAsia" w:ascii="仿宋_GB2312" w:hAnsi="仿宋_GB2312" w:eastAsia="仿宋_GB2312" w:cs="仿宋_GB2312"/>
          <w:sz w:val="32"/>
          <w:szCs w:val="32"/>
        </w:rPr>
        <w:t>依据市委组织部《关于党建引领物业服务企业和业主委员会建设的指导意见》，将物业服务企业和业主委员会纳入基层治理体系，构建权责清晰、齐抓共管的联动服务机制，不断增强基层党组织组织、宣传、凝聚、服务群众的能力，持续完善党建引领下共商共建共治共享的基层社会治理格局。</w:t>
      </w:r>
    </w:p>
    <w:p>
      <w:pPr>
        <w:overflowPunct w:val="0"/>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b/>
          <w:bCs/>
          <w:sz w:val="32"/>
          <w:szCs w:val="32"/>
        </w:rPr>
        <w:t xml:space="preserve">第三条 </w:t>
      </w:r>
      <w:r>
        <w:rPr>
          <w:rFonts w:hint="eastAsia" w:ascii="仿宋_GB2312" w:hAnsi="仿宋_GB2312" w:eastAsia="仿宋_GB2312" w:cs="仿宋_GB2312"/>
          <w:sz w:val="32"/>
          <w:szCs w:val="32"/>
        </w:rPr>
        <w:t>强化物业行业主管部门业务监管和党建指导双重责任，市级部门推进全市物业行业党建，区级部门建立行业协会，加强市、区行业协会和街道（乡镇）组建联盟，指导企业开展党建工作，创新推动党建工作与行业发展相融合。行业协会加强行业自律，规范物业服务，为街道（乡镇）、社区提供政策咨询、帮助矛盾纠纷调解，不断提升物业服务企业的专业能力和服务水平。</w:t>
      </w:r>
    </w:p>
    <w:p>
      <w:pPr>
        <w:overflowPunct w:val="0"/>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b/>
          <w:bCs/>
          <w:sz w:val="32"/>
          <w:szCs w:val="32"/>
        </w:rPr>
        <w:t xml:space="preserve">第四条 </w:t>
      </w:r>
      <w:r>
        <w:rPr>
          <w:rFonts w:hint="eastAsia" w:ascii="仿宋_GB2312" w:hAnsi="仿宋_GB2312" w:eastAsia="仿宋_GB2312" w:cs="仿宋_GB2312"/>
          <w:sz w:val="32"/>
          <w:szCs w:val="32"/>
        </w:rPr>
        <w:t>赋权街道（乡镇）增强对属地物业服务管理的领导能力，将业委会（物管会）、物业服务企业党建工作和物业服务管理重大问题列入议事日程，搭建居民协商议事平台，指导社区党组织抓好业委会（物管会）、物业服务企业党组织的组建和联动服务机制建设，形成基层社会治理合力。</w:t>
      </w:r>
    </w:p>
    <w:p>
      <w:pPr>
        <w:overflowPunct w:val="0"/>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b/>
          <w:bCs/>
          <w:sz w:val="32"/>
          <w:szCs w:val="32"/>
        </w:rPr>
        <w:t xml:space="preserve">第五条 </w:t>
      </w:r>
      <w:r>
        <w:rPr>
          <w:rFonts w:hint="eastAsia" w:ascii="仿宋_GB2312" w:hAnsi="仿宋_GB2312" w:eastAsia="仿宋_GB2312" w:cs="仿宋_GB2312"/>
          <w:sz w:val="32"/>
          <w:szCs w:val="32"/>
        </w:rPr>
        <w:t>坚持共建共治，强化人民群众主体地位，用好回社区报到在职党员资源优势，街道（社区）依法有序组织居民群众参与物业管理和基层治理。</w:t>
      </w:r>
    </w:p>
    <w:p>
      <w:pPr>
        <w:overflowPunct w:val="0"/>
        <w:spacing w:line="560" w:lineRule="exact"/>
        <w:ind w:firstLine="640"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第六条 </w:t>
      </w:r>
      <w:r>
        <w:rPr>
          <w:rFonts w:hint="eastAsia" w:ascii="仿宋_GB2312" w:hAnsi="仿宋_GB2312" w:eastAsia="仿宋_GB2312" w:cs="仿宋_GB2312"/>
          <w:sz w:val="32"/>
          <w:szCs w:val="32"/>
        </w:rPr>
        <w:t>充分发挥“吹哨报到”工作机制，聚焦“12345”市民服务热线反映集中的物业服务问题，“按照小事不出社区，大事不出街道（乡镇），难事部门报到”的原则，对群众长期反映的突出问题，建立台账，挂账督办，对存在的共性、难点问题及时研究解决措施，加大部门间的执法力度，增强居民群众的获得感、安全感和幸福感。</w:t>
      </w:r>
    </w:p>
    <w:p>
      <w:pPr>
        <w:autoSpaceDE w:val="0"/>
        <w:autoSpaceDN w:val="0"/>
        <w:adjustRightInd w:val="0"/>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b/>
          <w:bCs/>
          <w:sz w:val="32"/>
          <w:szCs w:val="32"/>
        </w:rPr>
        <w:t xml:space="preserve">第七条 </w:t>
      </w:r>
      <w:r>
        <w:rPr>
          <w:rFonts w:hint="eastAsia" w:ascii="仿宋_GB2312" w:hAnsi="仿宋_GB2312" w:eastAsia="仿宋_GB2312" w:cs="仿宋_GB2312"/>
          <w:sz w:val="32"/>
          <w:szCs w:val="32"/>
        </w:rPr>
        <w:t>支持法律、会计、工程、评估、咨询等专业服务第三方机构和人员参与物业管理和服务活动，为物业管理相关主体提供公正、专业的咨询、培训、评价、检验、监督和审计等服务。支持非营利性社会组织参与物业服务活动。</w:t>
      </w:r>
    </w:p>
    <w:p>
      <w:pPr>
        <w:autoSpaceDE w:val="0"/>
        <w:autoSpaceDN w:val="0"/>
        <w:adjustRightInd w:val="0"/>
        <w:spacing w:line="560" w:lineRule="exact"/>
        <w:ind w:left="-1" w:leftChars="-200" w:hanging="419" w:hangingChars="131"/>
        <w:jc w:val="left"/>
        <w:rPr>
          <w:rFonts w:ascii="仿宋_GB2312" w:hAnsi="仿宋_GB2312" w:eastAsia="仿宋_GB2312" w:cs="仿宋_GB2312"/>
          <w:sz w:val="32"/>
          <w:szCs w:val="32"/>
        </w:rPr>
      </w:pPr>
    </w:p>
    <w:p>
      <w:pPr>
        <w:pStyle w:val="2"/>
        <w:numPr>
          <w:ilvl w:val="0"/>
          <w:numId w:val="0"/>
        </w:numPr>
      </w:pPr>
    </w:p>
    <w:p/>
    <w:p>
      <w:pPr>
        <w:pStyle w:val="2"/>
        <w:numPr>
          <w:ilvl w:val="0"/>
          <w:numId w:val="0"/>
        </w:numPr>
      </w:pPr>
    </w:p>
    <w:p>
      <w:pPr>
        <w:sectPr>
          <w:headerReference r:id="rId3" w:type="default"/>
          <w:footerReference r:id="rId4" w:type="default"/>
          <w:footerReference r:id="rId5" w:type="even"/>
          <w:pgSz w:w="11906" w:h="16838"/>
          <w:pgMar w:top="1871" w:right="1474" w:bottom="1701" w:left="1588" w:header="851" w:footer="992" w:gutter="0"/>
          <w:pgBorders>
            <w:top w:val="none" w:sz="0" w:space="0"/>
            <w:left w:val="none" w:sz="0" w:space="0"/>
            <w:bottom w:val="none" w:sz="0" w:space="0"/>
            <w:right w:val="none" w:sz="0" w:space="0"/>
          </w:pgBorders>
          <w:pgNumType w:start="2"/>
          <w:cols w:space="425" w:num="1"/>
          <w:docGrid w:type="linesAndChars" w:linePitch="498" w:charSpace="0"/>
        </w:sectPr>
      </w:pPr>
    </w:p>
    <w:p>
      <w:pPr>
        <w:autoSpaceDE w:val="0"/>
        <w:autoSpaceDN w:val="0"/>
        <w:adjustRightInd w:val="0"/>
        <w:spacing w:line="560" w:lineRule="exact"/>
        <w:rPr>
          <w:rFonts w:ascii="黑体" w:hAnsi="黑体" w:eastAsia="黑体" w:cs="黑体"/>
          <w:bCs/>
          <w:color w:val="000000"/>
          <w:kern w:val="0"/>
          <w:sz w:val="32"/>
          <w:szCs w:val="32"/>
        </w:rPr>
      </w:pPr>
      <w:bookmarkStart w:id="0" w:name="_Toc1243339662"/>
      <w:bookmarkStart w:id="1" w:name="_Toc2033444771"/>
      <w:r>
        <w:rPr>
          <w:rFonts w:hint="eastAsia" w:ascii="黑体" w:hAnsi="黑体" w:eastAsia="黑体" w:cs="黑体"/>
          <w:bCs/>
          <w:color w:val="000000"/>
          <w:kern w:val="0"/>
          <w:sz w:val="32"/>
          <w:szCs w:val="32"/>
        </w:rPr>
        <w:t>附件7</w:t>
      </w:r>
    </w:p>
    <w:p>
      <w:pPr>
        <w:keepNext/>
        <w:keepLines/>
        <w:snapToGrid w:val="0"/>
        <w:spacing w:before="340" w:after="330" w:line="480" w:lineRule="auto"/>
        <w:rPr>
          <w:rFonts w:ascii="方正小标宋简体" w:hAnsi="方正小标宋简体" w:eastAsia="方正小标宋简体" w:cs="方正小标宋简体"/>
          <w:b/>
          <w:color w:val="000000" w:themeColor="text1"/>
          <w:spacing w:val="57"/>
          <w:kern w:val="44"/>
          <w:sz w:val="56"/>
          <w:szCs w:val="56"/>
        </w:rPr>
      </w:pPr>
    </w:p>
    <w:p>
      <w:pPr>
        <w:keepNext/>
        <w:keepLines/>
        <w:snapToGrid w:val="0"/>
        <w:spacing w:before="340" w:after="330" w:line="576" w:lineRule="auto"/>
        <w:jc w:val="center"/>
        <w:rPr>
          <w:rFonts w:ascii="仿宋_GB2312" w:hAnsi="Calibri" w:eastAsia="仿宋_GB2312" w:cs="Times New Roman"/>
          <w:color w:val="000000" w:themeColor="text1"/>
          <w:sz w:val="28"/>
        </w:rPr>
      </w:pPr>
      <w:r>
        <w:rPr>
          <w:rFonts w:hint="eastAsia" w:ascii="方正小标宋简体" w:hAnsi="方正小标宋简体" w:eastAsia="方正小标宋简体" w:cs="方正小标宋简体"/>
          <w:b/>
          <w:color w:val="000000" w:themeColor="text1"/>
          <w:spacing w:val="57"/>
          <w:kern w:val="44"/>
          <w:sz w:val="56"/>
          <w:szCs w:val="56"/>
        </w:rPr>
        <w:t>北京市住宅项目物业服务</w:t>
      </w:r>
      <w:r>
        <w:rPr>
          <w:rFonts w:hint="eastAsia" w:ascii="仿宋_GB2312" w:hAnsi="方正小标宋简体" w:eastAsia="仿宋_GB2312" w:cs="方正小标宋简体"/>
          <w:b/>
          <w:color w:val="000000" w:themeColor="text1"/>
          <w:spacing w:val="57"/>
          <w:kern w:val="44"/>
          <w:sz w:val="56"/>
          <w:szCs w:val="56"/>
        </w:rPr>
        <w:br w:type="textWrapping"/>
      </w:r>
      <w:r>
        <w:rPr>
          <w:rFonts w:hint="eastAsia" w:ascii="方正小标宋简体" w:hAnsi="方正小标宋简体" w:eastAsia="方正小标宋简体" w:cs="方正小标宋简体"/>
          <w:b/>
          <w:color w:val="000000" w:themeColor="text1"/>
          <w:spacing w:val="130"/>
          <w:kern w:val="44"/>
          <w:sz w:val="96"/>
          <w:szCs w:val="96"/>
        </w:rPr>
        <w:t>合规手册</w:t>
      </w:r>
    </w:p>
    <w:p>
      <w:pPr>
        <w:snapToGrid w:val="0"/>
        <w:spacing w:line="500" w:lineRule="exact"/>
        <w:ind w:firstLine="560" w:firstLineChars="200"/>
        <w:rPr>
          <w:rFonts w:ascii="仿宋_GB2312" w:hAnsi="Calibri" w:eastAsia="仿宋_GB2312" w:cs="Times New Roman"/>
          <w:color w:val="000000" w:themeColor="text1"/>
          <w:sz w:val="28"/>
        </w:rPr>
      </w:pPr>
    </w:p>
    <w:p>
      <w:pPr>
        <w:pStyle w:val="2"/>
        <w:numPr>
          <w:ilvl w:val="0"/>
          <w:numId w:val="0"/>
        </w:numPr>
        <w:ind w:left="420"/>
      </w:pPr>
    </w:p>
    <w:p/>
    <w:p>
      <w:pPr>
        <w:pStyle w:val="2"/>
        <w:numPr>
          <w:ilvl w:val="0"/>
          <w:numId w:val="0"/>
        </w:numPr>
        <w:ind w:left="420"/>
      </w:pPr>
    </w:p>
    <w:p/>
    <w:p>
      <w:pPr>
        <w:snapToGrid w:val="0"/>
        <w:spacing w:line="500" w:lineRule="exact"/>
        <w:ind w:firstLine="560" w:firstLineChars="200"/>
        <w:rPr>
          <w:rFonts w:ascii="仿宋_GB2312" w:hAnsi="Calibri" w:eastAsia="仿宋_GB2312" w:cs="Times New Roman"/>
          <w:color w:val="000000" w:themeColor="text1"/>
          <w:sz w:val="28"/>
        </w:rPr>
      </w:pPr>
    </w:p>
    <w:p>
      <w:pPr>
        <w:pStyle w:val="2"/>
        <w:numPr>
          <w:ilvl w:val="0"/>
          <w:numId w:val="0"/>
        </w:numPr>
        <w:ind w:left="420"/>
      </w:pPr>
    </w:p>
    <w:p>
      <w:pPr>
        <w:snapToGrid w:val="0"/>
        <w:spacing w:line="500" w:lineRule="exact"/>
        <w:ind w:firstLine="560" w:firstLineChars="200"/>
        <w:rPr>
          <w:rFonts w:ascii="仿宋_GB2312" w:hAnsi="Calibri" w:eastAsia="仿宋_GB2312" w:cs="Times New Roman"/>
          <w:color w:val="000000" w:themeColor="text1"/>
          <w:sz w:val="28"/>
        </w:rPr>
      </w:pPr>
    </w:p>
    <w:p>
      <w:pPr>
        <w:snapToGrid w:val="0"/>
        <w:spacing w:line="500" w:lineRule="exact"/>
        <w:ind w:firstLine="560" w:firstLineChars="200"/>
        <w:rPr>
          <w:rFonts w:ascii="仿宋_GB2312" w:hAnsi="Calibri" w:eastAsia="仿宋_GB2312" w:cs="Times New Roman"/>
          <w:color w:val="000000" w:themeColor="text1"/>
          <w:sz w:val="28"/>
        </w:rPr>
      </w:pPr>
    </w:p>
    <w:p>
      <w:pPr>
        <w:snapToGrid w:val="0"/>
        <w:spacing w:line="500" w:lineRule="exact"/>
        <w:jc w:val="center"/>
        <w:rPr>
          <w:rFonts w:ascii="方正小标宋简体" w:hAnsi="方正小标宋简体" w:eastAsia="方正小标宋简体" w:cs="方正小标宋简体"/>
          <w:b/>
          <w:color w:val="000000" w:themeColor="text1"/>
          <w:spacing w:val="57"/>
          <w:kern w:val="44"/>
          <w:sz w:val="40"/>
          <w:szCs w:val="56"/>
        </w:rPr>
      </w:pPr>
      <w:r>
        <w:rPr>
          <w:rFonts w:hint="eastAsia" w:ascii="方正小标宋简体" w:hAnsi="方正小标宋简体" w:eastAsia="方正小标宋简体" w:cs="方正小标宋简体"/>
          <w:b/>
          <w:color w:val="000000" w:themeColor="text1"/>
          <w:spacing w:val="57"/>
          <w:kern w:val="44"/>
          <w:sz w:val="40"/>
          <w:szCs w:val="56"/>
        </w:rPr>
        <w:t>二</w:t>
      </w:r>
      <w:r>
        <w:rPr>
          <w:rFonts w:hint="eastAsia" w:ascii="宋体" w:hAnsi="宋体" w:eastAsia="宋体" w:cs="宋体"/>
          <w:b/>
          <w:color w:val="000000" w:themeColor="text1"/>
          <w:spacing w:val="57"/>
          <w:kern w:val="44"/>
          <w:sz w:val="40"/>
          <w:szCs w:val="56"/>
        </w:rPr>
        <w:t>〇</w:t>
      </w:r>
      <w:r>
        <w:rPr>
          <w:rFonts w:hint="eastAsia" w:ascii="方正小标宋简体" w:hAnsi="方正小标宋简体" w:eastAsia="方正小标宋简体" w:cs="方正小标宋简体"/>
          <w:b/>
          <w:color w:val="000000" w:themeColor="text1"/>
          <w:spacing w:val="57"/>
          <w:kern w:val="44"/>
          <w:sz w:val="40"/>
          <w:szCs w:val="56"/>
        </w:rPr>
        <w:t>二三年十一月</w:t>
      </w:r>
    </w:p>
    <w:p>
      <w:pPr>
        <w:pStyle w:val="47"/>
        <w:ind w:left="0" w:leftChars="0" w:firstLine="0" w:firstLineChars="0"/>
        <w:jc w:val="center"/>
        <w:rPr>
          <w:rFonts w:ascii="方正小标宋简体" w:hAnsi="方正小标宋简体" w:eastAsia="方正小标宋简体" w:cs="方正小标宋简体"/>
          <w:b/>
          <w:color w:val="000000" w:themeColor="text1"/>
          <w:spacing w:val="57"/>
          <w:kern w:val="44"/>
          <w:sz w:val="40"/>
          <w:szCs w:val="56"/>
        </w:rPr>
      </w:pPr>
      <w:r>
        <w:rPr>
          <w:rFonts w:ascii="方正小标宋简体" w:hAnsi="方正小标宋简体" w:eastAsia="方正小标宋简体" w:cs="方正小标宋简体"/>
          <w:b/>
          <w:color w:val="000000" w:themeColor="text1"/>
          <w:spacing w:val="57"/>
          <w:kern w:val="44"/>
          <w:sz w:val="40"/>
          <w:szCs w:val="56"/>
        </w:rPr>
        <w:br w:type="column"/>
      </w:r>
      <w:r>
        <w:rPr>
          <w:rFonts w:ascii="方正小标宋简体" w:hAnsi="方正小标宋简体" w:eastAsia="方正小标宋简体" w:cs="方正小标宋简体"/>
          <w:b/>
          <w:color w:val="000000" w:themeColor="text1"/>
          <w:spacing w:val="57"/>
          <w:kern w:val="44"/>
          <w:sz w:val="40"/>
          <w:szCs w:val="56"/>
        </w:rPr>
        <w:br w:type="column"/>
      </w:r>
    </w:p>
    <w:p>
      <w:pPr>
        <w:pStyle w:val="47"/>
        <w:ind w:left="0" w:leftChars="0" w:firstLine="0" w:firstLineChars="0"/>
        <w:jc w:val="center"/>
        <w:rPr>
          <w:rFonts w:ascii="方正小标宋简体" w:hAnsi="方正小标宋简体" w:eastAsia="方正小标宋简体" w:cs="方正小标宋简体"/>
          <w:b/>
          <w:color w:val="000000" w:themeColor="text1"/>
          <w:spacing w:val="57"/>
          <w:kern w:val="44"/>
          <w:sz w:val="40"/>
          <w:szCs w:val="56"/>
        </w:rPr>
      </w:pPr>
    </w:p>
    <w:p>
      <w:pPr>
        <w:pStyle w:val="47"/>
        <w:ind w:left="0" w:leftChars="0" w:firstLine="0" w:firstLineChars="0"/>
        <w:jc w:val="center"/>
        <w:rPr>
          <w:rFonts w:ascii="方正小标宋简体" w:hAnsi="方正小标宋简体" w:eastAsia="方正小标宋简体" w:cs="方正小标宋简体"/>
          <w:b/>
          <w:color w:val="000000" w:themeColor="text1"/>
          <w:spacing w:val="57"/>
          <w:kern w:val="44"/>
          <w:sz w:val="40"/>
          <w:szCs w:val="56"/>
        </w:rPr>
      </w:pPr>
      <w:r>
        <w:rPr>
          <w:rFonts w:hint="eastAsia" w:ascii="方正小标宋简体" w:hAnsi="方正小标宋简体" w:eastAsia="方正小标宋简体" w:cs="方正小标宋简体"/>
          <w:b/>
          <w:color w:val="000000" w:themeColor="text1"/>
          <w:spacing w:val="57"/>
          <w:kern w:val="44"/>
          <w:sz w:val="40"/>
          <w:szCs w:val="56"/>
        </w:rPr>
        <w:t>说 明</w:t>
      </w:r>
    </w:p>
    <w:p>
      <w:pPr>
        <w:pStyle w:val="47"/>
        <w:ind w:left="0" w:leftChars="0" w:firstLine="600"/>
        <w:rPr>
          <w:rFonts w:ascii="楷体_GB2312" w:hAnsi="楷体_GB2312" w:eastAsia="楷体_GB2312" w:cs="楷体_GB2312"/>
          <w:color w:val="000000" w:themeColor="text1"/>
          <w:sz w:val="30"/>
          <w:szCs w:val="30"/>
        </w:rPr>
      </w:pPr>
    </w:p>
    <w:p>
      <w:pPr>
        <w:pStyle w:val="47"/>
        <w:ind w:left="0" w:leftChars="0" w:firstLine="600"/>
        <w:rPr>
          <w:rFonts w:ascii="楷体_GB2312" w:hAnsi="楷体_GB2312" w:eastAsia="楷体_GB2312" w:cs="楷体_GB2312"/>
          <w:color w:val="000000" w:themeColor="text1"/>
          <w:sz w:val="30"/>
          <w:szCs w:val="30"/>
        </w:rPr>
      </w:pPr>
      <w:r>
        <w:rPr>
          <w:rFonts w:hint="eastAsia" w:ascii="楷体_GB2312" w:hAnsi="楷体_GB2312" w:eastAsia="楷体_GB2312" w:cs="楷体_GB2312"/>
          <w:color w:val="000000" w:themeColor="text1"/>
          <w:sz w:val="30"/>
          <w:szCs w:val="30"/>
        </w:rPr>
        <w:t>根据“6+4”一体化综合监管“一业一册”工作指引要求，针对住宅项目物业服务场景，由市住房城乡建设委牵头，编制了《北京市住宅项目物业服务合规手册》。编制本手册的目的，旨在一次性告知物业服务企业从事本行业经营活动应遵守的监管规则和标准，并提示违规风险和法律责任。本手册第一篇为住宅项目物业服务合规指南，明确物业服务的内容标准和风险提示；第二篇为案例提示，引用物业服务领域违法违规处罚典型案例，提示物业服务合规经营；第三篇为法规摘编，梳理汇总物业服务法律法规和部门规章，以及住宅物业服务场景综合检查单，为物业规范服务提供依据遵循。本手册不作为强制性文件执行，应配合相关法律法规、政策文件和强制性标准使用。物业服务企业参照本手册内容开展经营活动，更易达到各政府部门监管要求，监管人员执行的监管尺度也相对统一，企业也可采取恰当的措施以达到相应监管要求。另，本手册不单独作为行政监督及行政处罚的依据；依据法律法规、政策文件和强制性标准的修订和调整动态更新，确保准确性及时性。</w:t>
      </w:r>
    </w:p>
    <w:p>
      <w:pPr>
        <w:pStyle w:val="47"/>
        <w:ind w:left="0" w:leftChars="0" w:firstLine="600"/>
        <w:rPr>
          <w:rFonts w:ascii="仿宋_GB2312" w:hAnsi="仿宋_GB2312" w:eastAsia="仿宋_GB2312" w:cs="仿宋_GB2312"/>
          <w:color w:val="000000" w:themeColor="text1"/>
          <w:sz w:val="32"/>
          <w:szCs w:val="32"/>
        </w:rPr>
      </w:pPr>
      <w:r>
        <w:rPr>
          <w:rFonts w:ascii="楷体_GB2312" w:hAnsi="楷体_GB2312" w:eastAsia="楷体_GB2312" w:cs="楷体_GB2312"/>
          <w:color w:val="000000" w:themeColor="text1"/>
          <w:sz w:val="30"/>
          <w:szCs w:val="30"/>
        </w:rPr>
        <w:br w:type="column"/>
      </w:r>
    </w:p>
    <w:p>
      <w:pPr>
        <w:widowControl/>
        <w:snapToGrid w:val="0"/>
        <w:jc w:val="center"/>
        <w:rPr>
          <w:rFonts w:ascii="黑体" w:hAnsi="黑体" w:eastAsia="黑体"/>
          <w:b/>
          <w:color w:val="000000" w:themeColor="text1"/>
          <w:sz w:val="40"/>
        </w:rPr>
        <w:sectPr>
          <w:headerReference r:id="rId6" w:type="default"/>
          <w:footerReference r:id="rId7" w:type="default"/>
          <w:pgSz w:w="11906" w:h="16838"/>
          <w:pgMar w:top="1440" w:right="1800" w:bottom="1440" w:left="1800" w:header="851" w:footer="850" w:gutter="0"/>
          <w:pgBorders>
            <w:top w:val="none" w:sz="0" w:space="0"/>
            <w:left w:val="none" w:sz="0" w:space="0"/>
            <w:bottom w:val="none" w:sz="0" w:space="0"/>
            <w:right w:val="none" w:sz="0" w:space="0"/>
          </w:pgBorders>
          <w:pgNumType w:start="1"/>
          <w:cols w:space="425" w:num="1"/>
          <w:docGrid w:type="lines" w:linePitch="312" w:charSpace="0"/>
        </w:sectPr>
      </w:pPr>
    </w:p>
    <w:p>
      <w:pPr>
        <w:widowControl/>
        <w:snapToGrid w:val="0"/>
        <w:jc w:val="center"/>
        <w:rPr>
          <w:rFonts w:ascii="黑体" w:hAnsi="黑体" w:eastAsia="黑体" w:cstheme="majorBidi"/>
          <w:b/>
          <w:color w:val="000000" w:themeColor="text1"/>
          <w:kern w:val="0"/>
          <w:sz w:val="44"/>
          <w:szCs w:val="44"/>
          <w:lang w:val="zh-CN"/>
        </w:rPr>
      </w:pPr>
      <w:r>
        <w:rPr>
          <w:rFonts w:hint="eastAsia" w:ascii="黑体" w:hAnsi="黑体" w:eastAsia="黑体"/>
          <w:b/>
          <w:color w:val="000000" w:themeColor="text1"/>
          <w:sz w:val="40"/>
        </w:rPr>
        <w:t>目录</w:t>
      </w:r>
    </w:p>
    <w:sdt>
      <w:sdtPr>
        <w:rPr>
          <w:color w:val="000000" w:themeColor="text1"/>
          <w:lang w:val="zh-CN"/>
        </w:rPr>
        <w:id w:val="-1358655041"/>
        <w:docPartObj>
          <w:docPartGallery w:val="Table of Contents"/>
          <w:docPartUnique/>
        </w:docPartObj>
      </w:sdtPr>
      <w:sdtEndPr>
        <w:rPr>
          <w:b/>
          <w:bCs/>
          <w:color w:val="000000" w:themeColor="text1"/>
          <w:sz w:val="24"/>
          <w:lang w:val="zh-CN"/>
        </w:rPr>
      </w:sdtEndPr>
      <w:sdtContent>
        <w:p>
          <w:pPr>
            <w:pStyle w:val="21"/>
            <w:tabs>
              <w:tab w:val="right" w:leader="dot" w:pos="8296"/>
            </w:tabs>
            <w:rPr>
              <w:color w:val="000000" w:themeColor="text1"/>
              <w:szCs w:val="22"/>
            </w:rPr>
          </w:pPr>
          <w:r>
            <w:rPr>
              <w:color w:val="000000" w:themeColor="text1"/>
              <w:sz w:val="24"/>
            </w:rPr>
            <w:fldChar w:fldCharType="begin"/>
          </w:r>
          <w:r>
            <w:rPr>
              <w:color w:val="000000" w:themeColor="text1"/>
              <w:sz w:val="24"/>
            </w:rPr>
            <w:instrText xml:space="preserve"> TOC \o "1-3" \h \z \u </w:instrText>
          </w:r>
          <w:r>
            <w:rPr>
              <w:color w:val="000000" w:themeColor="text1"/>
              <w:sz w:val="24"/>
            </w:rPr>
            <w:fldChar w:fldCharType="separate"/>
          </w:r>
          <w:r>
            <w:fldChar w:fldCharType="begin"/>
          </w:r>
          <w:r>
            <w:instrText xml:space="preserve"> HYPERLINK \l "_Toc150435210" </w:instrText>
          </w:r>
          <w:r>
            <w:fldChar w:fldCharType="separate"/>
          </w:r>
          <w:r>
            <w:rPr>
              <w:rStyle w:val="31"/>
              <w:rFonts w:ascii="方正小标宋简体" w:hAnsi="方正小标宋简体" w:eastAsia="方正小标宋简体" w:cs="方正小标宋简体"/>
              <w:b/>
              <w:color w:val="000000" w:themeColor="text1"/>
              <w:spacing w:val="20"/>
              <w:kern w:val="44"/>
            </w:rPr>
            <w:t>第一篇</w:t>
          </w:r>
          <w:r>
            <w:rPr>
              <w:color w:val="000000" w:themeColor="text1"/>
            </w:rPr>
            <w:tab/>
          </w:r>
          <w:r>
            <w:rPr>
              <w:color w:val="000000" w:themeColor="text1"/>
            </w:rPr>
            <w:fldChar w:fldCharType="begin"/>
          </w:r>
          <w:r>
            <w:rPr>
              <w:color w:val="000000" w:themeColor="text1"/>
            </w:rPr>
            <w:instrText xml:space="preserve"> PAGEREF _Toc150435210 \h </w:instrText>
          </w:r>
          <w:r>
            <w:rPr>
              <w:color w:val="000000" w:themeColor="text1"/>
            </w:rPr>
            <w:fldChar w:fldCharType="separate"/>
          </w:r>
          <w:r>
            <w:rPr>
              <w:color w:val="000000" w:themeColor="text1"/>
            </w:rPr>
            <w:t>1</w:t>
          </w:r>
          <w:r>
            <w:rPr>
              <w:color w:val="000000" w:themeColor="text1"/>
            </w:rPr>
            <w:fldChar w:fldCharType="end"/>
          </w:r>
          <w:r>
            <w:rPr>
              <w:color w:val="000000" w:themeColor="text1"/>
            </w:rPr>
            <w:fldChar w:fldCharType="end"/>
          </w:r>
        </w:p>
        <w:p>
          <w:pPr>
            <w:pStyle w:val="18"/>
            <w:rPr>
              <w:rFonts w:asciiTheme="minorHAnsi" w:eastAsiaTheme="minorEastAsia"/>
              <w:b w:val="0"/>
              <w:color w:val="000000" w:themeColor="text1"/>
              <w:szCs w:val="22"/>
            </w:rPr>
          </w:pPr>
          <w:r>
            <w:fldChar w:fldCharType="begin"/>
          </w:r>
          <w:r>
            <w:instrText xml:space="preserve"> HYPERLINK \l "_Toc150435211" </w:instrText>
          </w:r>
          <w:r>
            <w:fldChar w:fldCharType="separate"/>
          </w:r>
          <w:r>
            <w:rPr>
              <w:rStyle w:val="31"/>
              <w:color w:val="000000" w:themeColor="text1"/>
            </w:rPr>
            <w:t>一、物业企业基础服务合规指南</w:t>
          </w:r>
          <w:r>
            <w:rPr>
              <w:color w:val="000000" w:themeColor="text1"/>
            </w:rPr>
            <w:tab/>
          </w:r>
          <w:r>
            <w:rPr>
              <w:color w:val="000000" w:themeColor="text1"/>
            </w:rPr>
            <w:fldChar w:fldCharType="begin"/>
          </w:r>
          <w:r>
            <w:rPr>
              <w:color w:val="000000" w:themeColor="text1"/>
            </w:rPr>
            <w:instrText xml:space="preserve"> PAGEREF _Toc150435211 \h </w:instrText>
          </w:r>
          <w:r>
            <w:rPr>
              <w:color w:val="000000" w:themeColor="text1"/>
            </w:rPr>
            <w:fldChar w:fldCharType="separate"/>
          </w:r>
          <w:r>
            <w:rPr>
              <w:color w:val="000000" w:themeColor="text1"/>
            </w:rPr>
            <w:t>3</w:t>
          </w:r>
          <w:r>
            <w:rPr>
              <w:color w:val="000000" w:themeColor="text1"/>
            </w:rPr>
            <w:fldChar w:fldCharType="end"/>
          </w:r>
          <w:r>
            <w:rPr>
              <w:color w:val="000000" w:themeColor="text1"/>
            </w:rPr>
            <w:fldChar w:fldCharType="end"/>
          </w:r>
        </w:p>
        <w:p>
          <w:pPr>
            <w:pStyle w:val="21"/>
            <w:tabs>
              <w:tab w:val="right" w:leader="dot" w:pos="8296"/>
            </w:tabs>
            <w:rPr>
              <w:color w:val="000000" w:themeColor="text1"/>
              <w:szCs w:val="22"/>
            </w:rPr>
          </w:pPr>
          <w:r>
            <w:fldChar w:fldCharType="begin"/>
          </w:r>
          <w:r>
            <w:instrText xml:space="preserve"> HYPERLINK \l "_Toc150435212" </w:instrText>
          </w:r>
          <w:r>
            <w:fldChar w:fldCharType="separate"/>
          </w:r>
          <w:r>
            <w:rPr>
              <w:rStyle w:val="31"/>
              <w:color w:val="000000" w:themeColor="text1"/>
            </w:rPr>
            <w:t>（一）物业服务客户服务场所合规指南</w:t>
          </w:r>
          <w:r>
            <w:rPr>
              <w:color w:val="000000" w:themeColor="text1"/>
            </w:rPr>
            <w:tab/>
          </w:r>
          <w:r>
            <w:rPr>
              <w:color w:val="000000" w:themeColor="text1"/>
            </w:rPr>
            <w:fldChar w:fldCharType="begin"/>
          </w:r>
          <w:r>
            <w:rPr>
              <w:color w:val="000000" w:themeColor="text1"/>
            </w:rPr>
            <w:instrText xml:space="preserve"> PAGEREF _Toc150435212 \h </w:instrText>
          </w:r>
          <w:r>
            <w:rPr>
              <w:color w:val="000000" w:themeColor="text1"/>
            </w:rPr>
            <w:fldChar w:fldCharType="separate"/>
          </w:r>
          <w:r>
            <w:rPr>
              <w:color w:val="000000" w:themeColor="text1"/>
            </w:rPr>
            <w:t>3</w:t>
          </w:r>
          <w:r>
            <w:rPr>
              <w:color w:val="000000" w:themeColor="text1"/>
            </w:rPr>
            <w:fldChar w:fldCharType="end"/>
          </w:r>
          <w:r>
            <w:rPr>
              <w:color w:val="000000" w:themeColor="text1"/>
            </w:rPr>
            <w:fldChar w:fldCharType="end"/>
          </w:r>
        </w:p>
        <w:p>
          <w:pPr>
            <w:pStyle w:val="21"/>
            <w:tabs>
              <w:tab w:val="right" w:leader="dot" w:pos="8296"/>
            </w:tabs>
            <w:rPr>
              <w:color w:val="000000" w:themeColor="text1"/>
              <w:szCs w:val="22"/>
            </w:rPr>
          </w:pPr>
          <w:r>
            <w:fldChar w:fldCharType="begin"/>
          </w:r>
          <w:r>
            <w:instrText xml:space="preserve"> HYPERLINK \l "_Toc150435213" </w:instrText>
          </w:r>
          <w:r>
            <w:fldChar w:fldCharType="separate"/>
          </w:r>
          <w:r>
            <w:rPr>
              <w:rStyle w:val="31"/>
              <w:color w:val="000000" w:themeColor="text1"/>
            </w:rPr>
            <w:t>（二）物业服务人员合规指南</w:t>
          </w:r>
          <w:r>
            <w:rPr>
              <w:color w:val="000000" w:themeColor="text1"/>
            </w:rPr>
            <w:tab/>
          </w:r>
          <w:r>
            <w:rPr>
              <w:color w:val="000000" w:themeColor="text1"/>
            </w:rPr>
            <w:fldChar w:fldCharType="begin"/>
          </w:r>
          <w:r>
            <w:rPr>
              <w:color w:val="000000" w:themeColor="text1"/>
            </w:rPr>
            <w:instrText xml:space="preserve"> PAGEREF _Toc150435213 \h </w:instrText>
          </w:r>
          <w:r>
            <w:rPr>
              <w:color w:val="000000" w:themeColor="text1"/>
            </w:rPr>
            <w:fldChar w:fldCharType="separate"/>
          </w:r>
          <w:r>
            <w:rPr>
              <w:color w:val="000000" w:themeColor="text1"/>
            </w:rPr>
            <w:t>5</w:t>
          </w:r>
          <w:r>
            <w:rPr>
              <w:color w:val="000000" w:themeColor="text1"/>
            </w:rPr>
            <w:fldChar w:fldCharType="end"/>
          </w:r>
          <w:r>
            <w:rPr>
              <w:color w:val="000000" w:themeColor="text1"/>
            </w:rPr>
            <w:fldChar w:fldCharType="end"/>
          </w:r>
        </w:p>
        <w:p>
          <w:pPr>
            <w:pStyle w:val="21"/>
            <w:tabs>
              <w:tab w:val="right" w:leader="dot" w:pos="8296"/>
            </w:tabs>
            <w:rPr>
              <w:color w:val="000000" w:themeColor="text1"/>
              <w:szCs w:val="22"/>
            </w:rPr>
          </w:pPr>
          <w:r>
            <w:fldChar w:fldCharType="begin"/>
          </w:r>
          <w:r>
            <w:instrText xml:space="preserve"> HYPERLINK \l "_Toc150435214" </w:instrText>
          </w:r>
          <w:r>
            <w:fldChar w:fldCharType="separate"/>
          </w:r>
          <w:r>
            <w:rPr>
              <w:rStyle w:val="31"/>
              <w:color w:val="000000" w:themeColor="text1"/>
            </w:rPr>
            <w:t>（三）物业服务制度合规指南</w:t>
          </w:r>
          <w:r>
            <w:rPr>
              <w:color w:val="000000" w:themeColor="text1"/>
            </w:rPr>
            <w:tab/>
          </w:r>
          <w:r>
            <w:rPr>
              <w:color w:val="000000" w:themeColor="text1"/>
            </w:rPr>
            <w:fldChar w:fldCharType="begin"/>
          </w:r>
          <w:r>
            <w:rPr>
              <w:color w:val="000000" w:themeColor="text1"/>
            </w:rPr>
            <w:instrText xml:space="preserve"> PAGEREF _Toc150435214 \h </w:instrText>
          </w:r>
          <w:r>
            <w:rPr>
              <w:color w:val="000000" w:themeColor="text1"/>
            </w:rPr>
            <w:fldChar w:fldCharType="separate"/>
          </w:r>
          <w:r>
            <w:rPr>
              <w:color w:val="000000" w:themeColor="text1"/>
            </w:rPr>
            <w:t>7</w:t>
          </w:r>
          <w:r>
            <w:rPr>
              <w:color w:val="000000" w:themeColor="text1"/>
            </w:rPr>
            <w:fldChar w:fldCharType="end"/>
          </w:r>
          <w:r>
            <w:rPr>
              <w:color w:val="000000" w:themeColor="text1"/>
            </w:rPr>
            <w:fldChar w:fldCharType="end"/>
          </w:r>
        </w:p>
        <w:p>
          <w:pPr>
            <w:pStyle w:val="21"/>
            <w:tabs>
              <w:tab w:val="right" w:leader="dot" w:pos="8296"/>
            </w:tabs>
            <w:rPr>
              <w:color w:val="000000" w:themeColor="text1"/>
              <w:szCs w:val="22"/>
            </w:rPr>
          </w:pPr>
          <w:r>
            <w:fldChar w:fldCharType="begin"/>
          </w:r>
          <w:r>
            <w:instrText xml:space="preserve"> HYPERLINK \l "_Toc150435215" </w:instrText>
          </w:r>
          <w:r>
            <w:fldChar w:fldCharType="separate"/>
          </w:r>
          <w:r>
            <w:rPr>
              <w:rStyle w:val="31"/>
              <w:color w:val="000000" w:themeColor="text1"/>
            </w:rPr>
            <w:t>（四）物业服务档案合规指南</w:t>
          </w:r>
          <w:r>
            <w:rPr>
              <w:color w:val="000000" w:themeColor="text1"/>
            </w:rPr>
            <w:tab/>
          </w:r>
          <w:r>
            <w:rPr>
              <w:color w:val="000000" w:themeColor="text1"/>
            </w:rPr>
            <w:fldChar w:fldCharType="begin"/>
          </w:r>
          <w:r>
            <w:rPr>
              <w:color w:val="000000" w:themeColor="text1"/>
            </w:rPr>
            <w:instrText xml:space="preserve"> PAGEREF _Toc150435215 \h </w:instrText>
          </w:r>
          <w:r>
            <w:rPr>
              <w:color w:val="000000" w:themeColor="text1"/>
            </w:rPr>
            <w:fldChar w:fldCharType="separate"/>
          </w:r>
          <w:r>
            <w:rPr>
              <w:color w:val="000000" w:themeColor="text1"/>
            </w:rPr>
            <w:t>8</w:t>
          </w:r>
          <w:r>
            <w:rPr>
              <w:color w:val="000000" w:themeColor="text1"/>
            </w:rPr>
            <w:fldChar w:fldCharType="end"/>
          </w:r>
          <w:r>
            <w:rPr>
              <w:color w:val="000000" w:themeColor="text1"/>
            </w:rPr>
            <w:fldChar w:fldCharType="end"/>
          </w:r>
        </w:p>
        <w:p>
          <w:pPr>
            <w:pStyle w:val="21"/>
            <w:tabs>
              <w:tab w:val="right" w:leader="dot" w:pos="8296"/>
            </w:tabs>
            <w:rPr>
              <w:color w:val="000000" w:themeColor="text1"/>
              <w:szCs w:val="22"/>
            </w:rPr>
          </w:pPr>
          <w:r>
            <w:fldChar w:fldCharType="begin"/>
          </w:r>
          <w:r>
            <w:instrText xml:space="preserve"> HYPERLINK \l "_Toc150435216" </w:instrText>
          </w:r>
          <w:r>
            <w:fldChar w:fldCharType="separate"/>
          </w:r>
          <w:r>
            <w:rPr>
              <w:rStyle w:val="31"/>
              <w:color w:val="000000" w:themeColor="text1"/>
            </w:rPr>
            <w:t>（五）物业服务标识合规指南</w:t>
          </w:r>
          <w:r>
            <w:rPr>
              <w:color w:val="000000" w:themeColor="text1"/>
            </w:rPr>
            <w:tab/>
          </w:r>
          <w:r>
            <w:rPr>
              <w:color w:val="000000" w:themeColor="text1"/>
            </w:rPr>
            <w:fldChar w:fldCharType="begin"/>
          </w:r>
          <w:r>
            <w:rPr>
              <w:color w:val="000000" w:themeColor="text1"/>
            </w:rPr>
            <w:instrText xml:space="preserve"> PAGEREF _Toc150435216 \h </w:instrText>
          </w:r>
          <w:r>
            <w:rPr>
              <w:color w:val="000000" w:themeColor="text1"/>
            </w:rPr>
            <w:fldChar w:fldCharType="separate"/>
          </w:r>
          <w:r>
            <w:rPr>
              <w:color w:val="000000" w:themeColor="text1"/>
            </w:rPr>
            <w:t>10</w:t>
          </w:r>
          <w:r>
            <w:rPr>
              <w:color w:val="000000" w:themeColor="text1"/>
            </w:rPr>
            <w:fldChar w:fldCharType="end"/>
          </w:r>
          <w:r>
            <w:rPr>
              <w:color w:val="000000" w:themeColor="text1"/>
            </w:rPr>
            <w:fldChar w:fldCharType="end"/>
          </w:r>
        </w:p>
        <w:p>
          <w:pPr>
            <w:pStyle w:val="21"/>
            <w:tabs>
              <w:tab w:val="right" w:leader="dot" w:pos="8296"/>
            </w:tabs>
            <w:rPr>
              <w:color w:val="000000" w:themeColor="text1"/>
              <w:szCs w:val="22"/>
            </w:rPr>
          </w:pPr>
          <w:r>
            <w:fldChar w:fldCharType="begin"/>
          </w:r>
          <w:r>
            <w:instrText xml:space="preserve"> HYPERLINK \l "_Toc150435217" </w:instrText>
          </w:r>
          <w:r>
            <w:fldChar w:fldCharType="separate"/>
          </w:r>
          <w:r>
            <w:rPr>
              <w:rStyle w:val="31"/>
              <w:color w:val="000000" w:themeColor="text1"/>
            </w:rPr>
            <w:t>（六）物业服务客户服务合规指南</w:t>
          </w:r>
          <w:r>
            <w:rPr>
              <w:color w:val="000000" w:themeColor="text1"/>
            </w:rPr>
            <w:tab/>
          </w:r>
          <w:r>
            <w:rPr>
              <w:color w:val="000000" w:themeColor="text1"/>
            </w:rPr>
            <w:fldChar w:fldCharType="begin"/>
          </w:r>
          <w:r>
            <w:rPr>
              <w:color w:val="000000" w:themeColor="text1"/>
            </w:rPr>
            <w:instrText xml:space="preserve"> PAGEREF _Toc150435217 \h </w:instrText>
          </w:r>
          <w:r>
            <w:rPr>
              <w:color w:val="000000" w:themeColor="text1"/>
            </w:rPr>
            <w:fldChar w:fldCharType="separate"/>
          </w:r>
          <w:r>
            <w:rPr>
              <w:color w:val="000000" w:themeColor="text1"/>
            </w:rPr>
            <w:t>11</w:t>
          </w:r>
          <w:r>
            <w:rPr>
              <w:color w:val="000000" w:themeColor="text1"/>
            </w:rPr>
            <w:fldChar w:fldCharType="end"/>
          </w:r>
          <w:r>
            <w:rPr>
              <w:color w:val="000000" w:themeColor="text1"/>
            </w:rPr>
            <w:fldChar w:fldCharType="end"/>
          </w:r>
        </w:p>
        <w:p>
          <w:pPr>
            <w:pStyle w:val="21"/>
            <w:tabs>
              <w:tab w:val="right" w:leader="dot" w:pos="8296"/>
            </w:tabs>
            <w:rPr>
              <w:color w:val="000000" w:themeColor="text1"/>
              <w:szCs w:val="22"/>
            </w:rPr>
          </w:pPr>
          <w:r>
            <w:fldChar w:fldCharType="begin"/>
          </w:r>
          <w:r>
            <w:instrText xml:space="preserve"> HYPERLINK \l "_Toc150435218" </w:instrText>
          </w:r>
          <w:r>
            <w:fldChar w:fldCharType="separate"/>
          </w:r>
          <w:r>
            <w:rPr>
              <w:rStyle w:val="31"/>
              <w:color w:val="000000" w:themeColor="text1"/>
            </w:rPr>
            <w:t>（七）物业服务专项服务委托合规指南</w:t>
          </w:r>
          <w:r>
            <w:rPr>
              <w:color w:val="000000" w:themeColor="text1"/>
            </w:rPr>
            <w:tab/>
          </w:r>
          <w:r>
            <w:rPr>
              <w:color w:val="000000" w:themeColor="text1"/>
            </w:rPr>
            <w:fldChar w:fldCharType="begin"/>
          </w:r>
          <w:r>
            <w:rPr>
              <w:color w:val="000000" w:themeColor="text1"/>
            </w:rPr>
            <w:instrText xml:space="preserve"> PAGEREF _Toc150435218 \h </w:instrText>
          </w:r>
          <w:r>
            <w:rPr>
              <w:color w:val="000000" w:themeColor="text1"/>
            </w:rPr>
            <w:fldChar w:fldCharType="separate"/>
          </w:r>
          <w:r>
            <w:rPr>
              <w:color w:val="000000" w:themeColor="text1"/>
            </w:rPr>
            <w:t>14</w:t>
          </w:r>
          <w:r>
            <w:rPr>
              <w:color w:val="000000" w:themeColor="text1"/>
            </w:rPr>
            <w:fldChar w:fldCharType="end"/>
          </w:r>
          <w:r>
            <w:rPr>
              <w:color w:val="000000" w:themeColor="text1"/>
            </w:rPr>
            <w:fldChar w:fldCharType="end"/>
          </w:r>
        </w:p>
        <w:p>
          <w:pPr>
            <w:pStyle w:val="21"/>
            <w:tabs>
              <w:tab w:val="right" w:leader="dot" w:pos="8296"/>
            </w:tabs>
            <w:rPr>
              <w:color w:val="000000" w:themeColor="text1"/>
              <w:szCs w:val="22"/>
            </w:rPr>
          </w:pPr>
          <w:r>
            <w:fldChar w:fldCharType="begin"/>
          </w:r>
          <w:r>
            <w:instrText xml:space="preserve"> HYPERLINK \l "_Toc150435219" </w:instrText>
          </w:r>
          <w:r>
            <w:fldChar w:fldCharType="separate"/>
          </w:r>
          <w:r>
            <w:rPr>
              <w:rStyle w:val="31"/>
              <w:color w:val="000000" w:themeColor="text1"/>
            </w:rPr>
            <w:t>（八）物业服务装饰装修管理合规指南</w:t>
          </w:r>
          <w:r>
            <w:rPr>
              <w:color w:val="000000" w:themeColor="text1"/>
            </w:rPr>
            <w:tab/>
          </w:r>
          <w:r>
            <w:rPr>
              <w:color w:val="000000" w:themeColor="text1"/>
            </w:rPr>
            <w:fldChar w:fldCharType="begin"/>
          </w:r>
          <w:r>
            <w:rPr>
              <w:color w:val="000000" w:themeColor="text1"/>
            </w:rPr>
            <w:instrText xml:space="preserve"> PAGEREF _Toc150435219 \h </w:instrText>
          </w:r>
          <w:r>
            <w:rPr>
              <w:color w:val="000000" w:themeColor="text1"/>
            </w:rPr>
            <w:fldChar w:fldCharType="separate"/>
          </w:r>
          <w:r>
            <w:rPr>
              <w:color w:val="000000" w:themeColor="text1"/>
            </w:rPr>
            <w:t>15</w:t>
          </w:r>
          <w:r>
            <w:rPr>
              <w:color w:val="000000" w:themeColor="text1"/>
            </w:rPr>
            <w:fldChar w:fldCharType="end"/>
          </w:r>
          <w:r>
            <w:rPr>
              <w:color w:val="000000" w:themeColor="text1"/>
            </w:rPr>
            <w:fldChar w:fldCharType="end"/>
          </w:r>
        </w:p>
        <w:p>
          <w:pPr>
            <w:pStyle w:val="21"/>
            <w:tabs>
              <w:tab w:val="right" w:leader="dot" w:pos="8296"/>
            </w:tabs>
            <w:rPr>
              <w:color w:val="000000" w:themeColor="text1"/>
              <w:szCs w:val="22"/>
            </w:rPr>
          </w:pPr>
          <w:r>
            <w:fldChar w:fldCharType="begin"/>
          </w:r>
          <w:r>
            <w:instrText xml:space="preserve"> HYPERLINK \l "_Toc150435220" </w:instrText>
          </w:r>
          <w:r>
            <w:fldChar w:fldCharType="separate"/>
          </w:r>
          <w:r>
            <w:rPr>
              <w:rStyle w:val="31"/>
              <w:color w:val="000000" w:themeColor="text1"/>
            </w:rPr>
            <w:t>（九）承接查验合规指南</w:t>
          </w:r>
          <w:r>
            <w:rPr>
              <w:color w:val="000000" w:themeColor="text1"/>
            </w:rPr>
            <w:tab/>
          </w:r>
          <w:r>
            <w:rPr>
              <w:color w:val="000000" w:themeColor="text1"/>
            </w:rPr>
            <w:fldChar w:fldCharType="begin"/>
          </w:r>
          <w:r>
            <w:rPr>
              <w:color w:val="000000" w:themeColor="text1"/>
            </w:rPr>
            <w:instrText xml:space="preserve"> PAGEREF _Toc150435220 \h </w:instrText>
          </w:r>
          <w:r>
            <w:rPr>
              <w:color w:val="000000" w:themeColor="text1"/>
            </w:rPr>
            <w:fldChar w:fldCharType="separate"/>
          </w:r>
          <w:r>
            <w:rPr>
              <w:color w:val="000000" w:themeColor="text1"/>
            </w:rPr>
            <w:t>18</w:t>
          </w:r>
          <w:r>
            <w:rPr>
              <w:color w:val="000000" w:themeColor="text1"/>
            </w:rPr>
            <w:fldChar w:fldCharType="end"/>
          </w:r>
          <w:r>
            <w:rPr>
              <w:color w:val="000000" w:themeColor="text1"/>
            </w:rPr>
            <w:fldChar w:fldCharType="end"/>
          </w:r>
        </w:p>
        <w:p>
          <w:pPr>
            <w:pStyle w:val="21"/>
            <w:tabs>
              <w:tab w:val="right" w:leader="dot" w:pos="8296"/>
            </w:tabs>
            <w:rPr>
              <w:color w:val="000000" w:themeColor="text1"/>
              <w:szCs w:val="22"/>
            </w:rPr>
          </w:pPr>
          <w:r>
            <w:fldChar w:fldCharType="begin"/>
          </w:r>
          <w:r>
            <w:instrText xml:space="preserve"> HYPERLINK \l "_Toc150435221" </w:instrText>
          </w:r>
          <w:r>
            <w:fldChar w:fldCharType="separate"/>
          </w:r>
          <w:r>
            <w:rPr>
              <w:rStyle w:val="31"/>
              <w:color w:val="000000" w:themeColor="text1"/>
            </w:rPr>
            <w:t>（十）前期物业服务合规指南</w:t>
          </w:r>
          <w:r>
            <w:rPr>
              <w:color w:val="000000" w:themeColor="text1"/>
            </w:rPr>
            <w:tab/>
          </w:r>
          <w:r>
            <w:rPr>
              <w:color w:val="000000" w:themeColor="text1"/>
            </w:rPr>
            <w:fldChar w:fldCharType="begin"/>
          </w:r>
          <w:r>
            <w:rPr>
              <w:color w:val="000000" w:themeColor="text1"/>
            </w:rPr>
            <w:instrText xml:space="preserve"> PAGEREF _Toc150435221 \h </w:instrText>
          </w:r>
          <w:r>
            <w:rPr>
              <w:color w:val="000000" w:themeColor="text1"/>
            </w:rPr>
            <w:fldChar w:fldCharType="separate"/>
          </w:r>
          <w:r>
            <w:rPr>
              <w:color w:val="000000" w:themeColor="text1"/>
            </w:rPr>
            <w:t>22</w:t>
          </w:r>
          <w:r>
            <w:rPr>
              <w:color w:val="000000" w:themeColor="text1"/>
            </w:rPr>
            <w:fldChar w:fldCharType="end"/>
          </w:r>
          <w:r>
            <w:rPr>
              <w:color w:val="000000" w:themeColor="text1"/>
            </w:rPr>
            <w:fldChar w:fldCharType="end"/>
          </w:r>
        </w:p>
        <w:p>
          <w:pPr>
            <w:pStyle w:val="21"/>
            <w:tabs>
              <w:tab w:val="right" w:leader="dot" w:pos="8296"/>
            </w:tabs>
            <w:rPr>
              <w:color w:val="000000" w:themeColor="text1"/>
              <w:szCs w:val="22"/>
            </w:rPr>
          </w:pPr>
          <w:r>
            <w:fldChar w:fldCharType="begin"/>
          </w:r>
          <w:r>
            <w:instrText xml:space="preserve"> HYPERLINK \l "_Toc150435222" </w:instrText>
          </w:r>
          <w:r>
            <w:fldChar w:fldCharType="separate"/>
          </w:r>
          <w:r>
            <w:rPr>
              <w:rStyle w:val="31"/>
              <w:color w:val="000000" w:themeColor="text1"/>
            </w:rPr>
            <w:t>（十一）物业管理合规指南</w:t>
          </w:r>
          <w:r>
            <w:rPr>
              <w:color w:val="000000" w:themeColor="text1"/>
            </w:rPr>
            <w:tab/>
          </w:r>
          <w:r>
            <w:rPr>
              <w:color w:val="000000" w:themeColor="text1"/>
            </w:rPr>
            <w:fldChar w:fldCharType="begin"/>
          </w:r>
          <w:r>
            <w:rPr>
              <w:color w:val="000000" w:themeColor="text1"/>
            </w:rPr>
            <w:instrText xml:space="preserve"> PAGEREF _Toc150435222 \h </w:instrText>
          </w:r>
          <w:r>
            <w:rPr>
              <w:color w:val="000000" w:themeColor="text1"/>
            </w:rPr>
            <w:fldChar w:fldCharType="separate"/>
          </w:r>
          <w:r>
            <w:rPr>
              <w:color w:val="000000" w:themeColor="text1"/>
            </w:rPr>
            <w:t>24</w:t>
          </w:r>
          <w:r>
            <w:rPr>
              <w:color w:val="000000" w:themeColor="text1"/>
            </w:rPr>
            <w:fldChar w:fldCharType="end"/>
          </w:r>
          <w:r>
            <w:rPr>
              <w:color w:val="000000" w:themeColor="text1"/>
            </w:rPr>
            <w:fldChar w:fldCharType="end"/>
          </w:r>
        </w:p>
        <w:p>
          <w:pPr>
            <w:pStyle w:val="21"/>
            <w:tabs>
              <w:tab w:val="right" w:leader="dot" w:pos="8296"/>
            </w:tabs>
            <w:rPr>
              <w:color w:val="000000" w:themeColor="text1"/>
              <w:szCs w:val="22"/>
            </w:rPr>
          </w:pPr>
          <w:r>
            <w:fldChar w:fldCharType="begin"/>
          </w:r>
          <w:r>
            <w:instrText xml:space="preserve"> HYPERLINK \l "_Toc150435223" </w:instrText>
          </w:r>
          <w:r>
            <w:fldChar w:fldCharType="separate"/>
          </w:r>
          <w:r>
            <w:rPr>
              <w:rStyle w:val="31"/>
              <w:color w:val="000000" w:themeColor="text1"/>
            </w:rPr>
            <w:t>（十二）物业的使用与维护合规指南</w:t>
          </w:r>
          <w:r>
            <w:rPr>
              <w:color w:val="000000" w:themeColor="text1"/>
            </w:rPr>
            <w:tab/>
          </w:r>
          <w:r>
            <w:rPr>
              <w:color w:val="000000" w:themeColor="text1"/>
            </w:rPr>
            <w:fldChar w:fldCharType="begin"/>
          </w:r>
          <w:r>
            <w:rPr>
              <w:color w:val="000000" w:themeColor="text1"/>
            </w:rPr>
            <w:instrText xml:space="preserve"> PAGEREF _Toc150435223 \h </w:instrText>
          </w:r>
          <w:r>
            <w:rPr>
              <w:color w:val="000000" w:themeColor="text1"/>
            </w:rPr>
            <w:fldChar w:fldCharType="separate"/>
          </w:r>
          <w:r>
            <w:rPr>
              <w:color w:val="000000" w:themeColor="text1"/>
            </w:rPr>
            <w:t>29</w:t>
          </w:r>
          <w:r>
            <w:rPr>
              <w:color w:val="000000" w:themeColor="text1"/>
            </w:rPr>
            <w:fldChar w:fldCharType="end"/>
          </w:r>
          <w:r>
            <w:rPr>
              <w:color w:val="000000" w:themeColor="text1"/>
            </w:rPr>
            <w:fldChar w:fldCharType="end"/>
          </w:r>
        </w:p>
        <w:p>
          <w:pPr>
            <w:pStyle w:val="21"/>
            <w:tabs>
              <w:tab w:val="right" w:leader="dot" w:pos="8296"/>
            </w:tabs>
            <w:rPr>
              <w:color w:val="000000" w:themeColor="text1"/>
              <w:szCs w:val="22"/>
            </w:rPr>
          </w:pPr>
          <w:r>
            <w:fldChar w:fldCharType="begin"/>
          </w:r>
          <w:r>
            <w:instrText xml:space="preserve"> HYPERLINK \l "_Toc150435224" </w:instrText>
          </w:r>
          <w:r>
            <w:fldChar w:fldCharType="separate"/>
          </w:r>
          <w:r>
            <w:rPr>
              <w:rStyle w:val="31"/>
              <w:color w:val="000000" w:themeColor="text1"/>
            </w:rPr>
            <w:t>（十三）其他管理合规指南</w:t>
          </w:r>
          <w:r>
            <w:rPr>
              <w:color w:val="000000" w:themeColor="text1"/>
            </w:rPr>
            <w:tab/>
          </w:r>
          <w:r>
            <w:rPr>
              <w:color w:val="000000" w:themeColor="text1"/>
            </w:rPr>
            <w:fldChar w:fldCharType="begin"/>
          </w:r>
          <w:r>
            <w:rPr>
              <w:color w:val="000000" w:themeColor="text1"/>
            </w:rPr>
            <w:instrText xml:space="preserve"> PAGEREF _Toc150435224 \h </w:instrText>
          </w:r>
          <w:r>
            <w:rPr>
              <w:color w:val="000000" w:themeColor="text1"/>
            </w:rPr>
            <w:fldChar w:fldCharType="separate"/>
          </w:r>
          <w:r>
            <w:rPr>
              <w:color w:val="000000" w:themeColor="text1"/>
            </w:rPr>
            <w:t>33</w:t>
          </w:r>
          <w:r>
            <w:rPr>
              <w:color w:val="000000" w:themeColor="text1"/>
            </w:rPr>
            <w:fldChar w:fldCharType="end"/>
          </w:r>
          <w:r>
            <w:rPr>
              <w:color w:val="000000" w:themeColor="text1"/>
            </w:rPr>
            <w:fldChar w:fldCharType="end"/>
          </w:r>
        </w:p>
        <w:p>
          <w:pPr>
            <w:pStyle w:val="11"/>
            <w:tabs>
              <w:tab w:val="right" w:leader="dot" w:pos="8296"/>
            </w:tabs>
            <w:rPr>
              <w:color w:val="000000" w:themeColor="text1"/>
            </w:rPr>
          </w:pPr>
          <w:r>
            <w:fldChar w:fldCharType="begin"/>
          </w:r>
          <w:r>
            <w:instrText xml:space="preserve"> HYPERLINK \l "_Toc150435225" </w:instrText>
          </w:r>
          <w:r>
            <w:fldChar w:fldCharType="separate"/>
          </w:r>
          <w:r>
            <w:rPr>
              <w:rStyle w:val="31"/>
              <w:color w:val="000000" w:themeColor="text1"/>
            </w:rPr>
            <w:t>1.有限空间</w:t>
          </w:r>
          <w:r>
            <w:rPr>
              <w:color w:val="000000" w:themeColor="text1"/>
            </w:rPr>
            <w:tab/>
          </w:r>
          <w:r>
            <w:rPr>
              <w:color w:val="000000" w:themeColor="text1"/>
            </w:rPr>
            <w:fldChar w:fldCharType="begin"/>
          </w:r>
          <w:r>
            <w:rPr>
              <w:color w:val="000000" w:themeColor="text1"/>
            </w:rPr>
            <w:instrText xml:space="preserve"> PAGEREF _Toc150435225 \h </w:instrText>
          </w:r>
          <w:r>
            <w:rPr>
              <w:color w:val="000000" w:themeColor="text1"/>
            </w:rPr>
            <w:fldChar w:fldCharType="separate"/>
          </w:r>
          <w:r>
            <w:rPr>
              <w:color w:val="000000" w:themeColor="text1"/>
            </w:rPr>
            <w:t>33</w:t>
          </w:r>
          <w:r>
            <w:rPr>
              <w:color w:val="000000" w:themeColor="text1"/>
            </w:rPr>
            <w:fldChar w:fldCharType="end"/>
          </w:r>
          <w:r>
            <w:rPr>
              <w:color w:val="000000" w:themeColor="text1"/>
            </w:rPr>
            <w:fldChar w:fldCharType="end"/>
          </w:r>
        </w:p>
        <w:p>
          <w:pPr>
            <w:pStyle w:val="11"/>
            <w:tabs>
              <w:tab w:val="right" w:leader="dot" w:pos="8296"/>
            </w:tabs>
            <w:rPr>
              <w:color w:val="000000" w:themeColor="text1"/>
            </w:rPr>
          </w:pPr>
          <w:r>
            <w:fldChar w:fldCharType="begin"/>
          </w:r>
          <w:r>
            <w:instrText xml:space="preserve"> HYPERLINK \l "_Toc150435226" </w:instrText>
          </w:r>
          <w:r>
            <w:fldChar w:fldCharType="separate"/>
          </w:r>
          <w:r>
            <w:rPr>
              <w:rStyle w:val="31"/>
              <w:color w:val="000000" w:themeColor="text1"/>
            </w:rPr>
            <w:t>2.高空坠物</w:t>
          </w:r>
          <w:r>
            <w:rPr>
              <w:color w:val="000000" w:themeColor="text1"/>
            </w:rPr>
            <w:tab/>
          </w:r>
          <w:r>
            <w:rPr>
              <w:color w:val="000000" w:themeColor="text1"/>
            </w:rPr>
            <w:fldChar w:fldCharType="begin"/>
          </w:r>
          <w:r>
            <w:rPr>
              <w:color w:val="000000" w:themeColor="text1"/>
            </w:rPr>
            <w:instrText xml:space="preserve"> PAGEREF _Toc150435226 \h </w:instrText>
          </w:r>
          <w:r>
            <w:rPr>
              <w:color w:val="000000" w:themeColor="text1"/>
            </w:rPr>
            <w:fldChar w:fldCharType="separate"/>
          </w:r>
          <w:r>
            <w:rPr>
              <w:color w:val="000000" w:themeColor="text1"/>
            </w:rPr>
            <w:t>34</w:t>
          </w:r>
          <w:r>
            <w:rPr>
              <w:color w:val="000000" w:themeColor="text1"/>
            </w:rPr>
            <w:fldChar w:fldCharType="end"/>
          </w:r>
          <w:r>
            <w:rPr>
              <w:color w:val="000000" w:themeColor="text1"/>
            </w:rPr>
            <w:fldChar w:fldCharType="end"/>
          </w:r>
        </w:p>
        <w:p>
          <w:pPr>
            <w:pStyle w:val="11"/>
            <w:tabs>
              <w:tab w:val="right" w:leader="dot" w:pos="8296"/>
            </w:tabs>
            <w:rPr>
              <w:color w:val="000000" w:themeColor="text1"/>
            </w:rPr>
          </w:pPr>
          <w:r>
            <w:fldChar w:fldCharType="begin"/>
          </w:r>
          <w:r>
            <w:instrText xml:space="preserve"> HYPERLINK \l "_Toc150435227" </w:instrText>
          </w:r>
          <w:r>
            <w:fldChar w:fldCharType="separate"/>
          </w:r>
          <w:r>
            <w:rPr>
              <w:rStyle w:val="31"/>
              <w:color w:val="000000" w:themeColor="text1"/>
            </w:rPr>
            <w:t>3.车位</w:t>
          </w:r>
          <w:r>
            <w:rPr>
              <w:color w:val="000000" w:themeColor="text1"/>
            </w:rPr>
            <w:tab/>
          </w:r>
          <w:r>
            <w:rPr>
              <w:color w:val="000000" w:themeColor="text1"/>
            </w:rPr>
            <w:fldChar w:fldCharType="begin"/>
          </w:r>
          <w:r>
            <w:rPr>
              <w:color w:val="000000" w:themeColor="text1"/>
            </w:rPr>
            <w:instrText xml:space="preserve"> PAGEREF _Toc150435227 \h </w:instrText>
          </w:r>
          <w:r>
            <w:rPr>
              <w:color w:val="000000" w:themeColor="text1"/>
            </w:rPr>
            <w:fldChar w:fldCharType="separate"/>
          </w:r>
          <w:r>
            <w:rPr>
              <w:color w:val="000000" w:themeColor="text1"/>
            </w:rPr>
            <w:t>35</w:t>
          </w:r>
          <w:r>
            <w:rPr>
              <w:color w:val="000000" w:themeColor="text1"/>
            </w:rPr>
            <w:fldChar w:fldCharType="end"/>
          </w:r>
          <w:r>
            <w:rPr>
              <w:color w:val="000000" w:themeColor="text1"/>
            </w:rPr>
            <w:fldChar w:fldCharType="end"/>
          </w:r>
        </w:p>
        <w:p>
          <w:pPr>
            <w:pStyle w:val="18"/>
            <w:rPr>
              <w:rFonts w:asciiTheme="minorHAnsi" w:eastAsiaTheme="minorEastAsia"/>
              <w:b w:val="0"/>
              <w:color w:val="000000" w:themeColor="text1"/>
              <w:szCs w:val="22"/>
            </w:rPr>
          </w:pPr>
          <w:r>
            <w:fldChar w:fldCharType="begin"/>
          </w:r>
          <w:r>
            <w:instrText xml:space="preserve"> HYPERLINK \l "_Toc150435228" </w:instrText>
          </w:r>
          <w:r>
            <w:fldChar w:fldCharType="separate"/>
          </w:r>
          <w:r>
            <w:rPr>
              <w:rStyle w:val="31"/>
              <w:color w:val="000000" w:themeColor="text1"/>
            </w:rPr>
            <w:t>二、共用部位及共用设施设备运行、检修养护合规指南</w:t>
          </w:r>
          <w:r>
            <w:rPr>
              <w:color w:val="000000" w:themeColor="text1"/>
            </w:rPr>
            <w:tab/>
          </w:r>
          <w:r>
            <w:rPr>
              <w:color w:val="000000" w:themeColor="text1"/>
            </w:rPr>
            <w:fldChar w:fldCharType="begin"/>
          </w:r>
          <w:r>
            <w:rPr>
              <w:color w:val="000000" w:themeColor="text1"/>
            </w:rPr>
            <w:instrText xml:space="preserve"> PAGEREF _Toc150435228 \h </w:instrText>
          </w:r>
          <w:r>
            <w:rPr>
              <w:color w:val="000000" w:themeColor="text1"/>
            </w:rPr>
            <w:fldChar w:fldCharType="separate"/>
          </w:r>
          <w:r>
            <w:rPr>
              <w:color w:val="000000" w:themeColor="text1"/>
            </w:rPr>
            <w:t>37</w:t>
          </w:r>
          <w:r>
            <w:rPr>
              <w:color w:val="000000" w:themeColor="text1"/>
            </w:rPr>
            <w:fldChar w:fldCharType="end"/>
          </w:r>
          <w:r>
            <w:rPr>
              <w:color w:val="000000" w:themeColor="text1"/>
            </w:rPr>
            <w:fldChar w:fldCharType="end"/>
          </w:r>
        </w:p>
        <w:p>
          <w:pPr>
            <w:pStyle w:val="21"/>
            <w:tabs>
              <w:tab w:val="right" w:leader="dot" w:pos="8296"/>
            </w:tabs>
            <w:rPr>
              <w:color w:val="000000" w:themeColor="text1"/>
              <w:szCs w:val="22"/>
            </w:rPr>
          </w:pPr>
          <w:r>
            <w:fldChar w:fldCharType="begin"/>
          </w:r>
          <w:r>
            <w:instrText xml:space="preserve"> HYPERLINK \l "_Toc150435229" </w:instrText>
          </w:r>
          <w:r>
            <w:fldChar w:fldCharType="separate"/>
          </w:r>
          <w:r>
            <w:rPr>
              <w:rStyle w:val="31"/>
              <w:color w:val="000000" w:themeColor="text1"/>
            </w:rPr>
            <w:t>（一）综合管理合规指南</w:t>
          </w:r>
          <w:r>
            <w:rPr>
              <w:color w:val="000000" w:themeColor="text1"/>
            </w:rPr>
            <w:tab/>
          </w:r>
          <w:r>
            <w:rPr>
              <w:color w:val="000000" w:themeColor="text1"/>
            </w:rPr>
            <w:fldChar w:fldCharType="begin"/>
          </w:r>
          <w:r>
            <w:rPr>
              <w:color w:val="000000" w:themeColor="text1"/>
            </w:rPr>
            <w:instrText xml:space="preserve"> PAGEREF _Toc150435229 \h </w:instrText>
          </w:r>
          <w:r>
            <w:rPr>
              <w:color w:val="000000" w:themeColor="text1"/>
            </w:rPr>
            <w:fldChar w:fldCharType="separate"/>
          </w:r>
          <w:r>
            <w:rPr>
              <w:color w:val="000000" w:themeColor="text1"/>
            </w:rPr>
            <w:t>37</w:t>
          </w:r>
          <w:r>
            <w:rPr>
              <w:color w:val="000000" w:themeColor="text1"/>
            </w:rPr>
            <w:fldChar w:fldCharType="end"/>
          </w:r>
          <w:r>
            <w:rPr>
              <w:color w:val="000000" w:themeColor="text1"/>
            </w:rPr>
            <w:fldChar w:fldCharType="end"/>
          </w:r>
        </w:p>
        <w:p>
          <w:pPr>
            <w:pStyle w:val="21"/>
            <w:tabs>
              <w:tab w:val="right" w:leader="dot" w:pos="8296"/>
            </w:tabs>
            <w:rPr>
              <w:color w:val="000000" w:themeColor="text1"/>
              <w:szCs w:val="22"/>
            </w:rPr>
          </w:pPr>
          <w:r>
            <w:fldChar w:fldCharType="begin"/>
          </w:r>
          <w:r>
            <w:instrText xml:space="preserve"> HYPERLINK \l "_Toc150435230" </w:instrText>
          </w:r>
          <w:r>
            <w:fldChar w:fldCharType="separate"/>
          </w:r>
          <w:r>
            <w:rPr>
              <w:rStyle w:val="31"/>
              <w:color w:val="000000" w:themeColor="text1"/>
            </w:rPr>
            <w:t>（二）共用部位检修养护合规指南</w:t>
          </w:r>
          <w:r>
            <w:rPr>
              <w:color w:val="000000" w:themeColor="text1"/>
            </w:rPr>
            <w:tab/>
          </w:r>
          <w:r>
            <w:rPr>
              <w:color w:val="000000" w:themeColor="text1"/>
            </w:rPr>
            <w:fldChar w:fldCharType="begin"/>
          </w:r>
          <w:r>
            <w:rPr>
              <w:color w:val="000000" w:themeColor="text1"/>
            </w:rPr>
            <w:instrText xml:space="preserve"> PAGEREF _Toc150435230 \h </w:instrText>
          </w:r>
          <w:r>
            <w:rPr>
              <w:color w:val="000000" w:themeColor="text1"/>
            </w:rPr>
            <w:fldChar w:fldCharType="separate"/>
          </w:r>
          <w:r>
            <w:rPr>
              <w:color w:val="000000" w:themeColor="text1"/>
            </w:rPr>
            <w:t>39</w:t>
          </w:r>
          <w:r>
            <w:rPr>
              <w:color w:val="000000" w:themeColor="text1"/>
            </w:rPr>
            <w:fldChar w:fldCharType="end"/>
          </w:r>
          <w:r>
            <w:rPr>
              <w:color w:val="000000" w:themeColor="text1"/>
            </w:rPr>
            <w:fldChar w:fldCharType="end"/>
          </w:r>
        </w:p>
        <w:p>
          <w:pPr>
            <w:pStyle w:val="21"/>
            <w:tabs>
              <w:tab w:val="right" w:leader="dot" w:pos="8296"/>
            </w:tabs>
            <w:rPr>
              <w:color w:val="000000" w:themeColor="text1"/>
              <w:szCs w:val="22"/>
            </w:rPr>
          </w:pPr>
          <w:r>
            <w:fldChar w:fldCharType="begin"/>
          </w:r>
          <w:r>
            <w:instrText xml:space="preserve"> HYPERLINK \l "_Toc150435231" </w:instrText>
          </w:r>
          <w:r>
            <w:fldChar w:fldCharType="separate"/>
          </w:r>
          <w:r>
            <w:rPr>
              <w:rStyle w:val="31"/>
              <w:color w:val="000000" w:themeColor="text1"/>
            </w:rPr>
            <w:t>（三）中央空调系统检修养护合规指南</w:t>
          </w:r>
          <w:r>
            <w:rPr>
              <w:color w:val="000000" w:themeColor="text1"/>
            </w:rPr>
            <w:tab/>
          </w:r>
          <w:r>
            <w:rPr>
              <w:color w:val="000000" w:themeColor="text1"/>
            </w:rPr>
            <w:fldChar w:fldCharType="begin"/>
          </w:r>
          <w:r>
            <w:rPr>
              <w:color w:val="000000" w:themeColor="text1"/>
            </w:rPr>
            <w:instrText xml:space="preserve"> PAGEREF _Toc150435231 \h </w:instrText>
          </w:r>
          <w:r>
            <w:rPr>
              <w:color w:val="000000" w:themeColor="text1"/>
            </w:rPr>
            <w:fldChar w:fldCharType="separate"/>
          </w:r>
          <w:r>
            <w:rPr>
              <w:color w:val="000000" w:themeColor="text1"/>
            </w:rPr>
            <w:t>43</w:t>
          </w:r>
          <w:r>
            <w:rPr>
              <w:color w:val="000000" w:themeColor="text1"/>
            </w:rPr>
            <w:fldChar w:fldCharType="end"/>
          </w:r>
          <w:r>
            <w:rPr>
              <w:color w:val="000000" w:themeColor="text1"/>
            </w:rPr>
            <w:fldChar w:fldCharType="end"/>
          </w:r>
        </w:p>
        <w:p>
          <w:pPr>
            <w:pStyle w:val="21"/>
            <w:tabs>
              <w:tab w:val="right" w:leader="dot" w:pos="8296"/>
            </w:tabs>
            <w:rPr>
              <w:color w:val="000000" w:themeColor="text1"/>
              <w:szCs w:val="22"/>
            </w:rPr>
          </w:pPr>
          <w:r>
            <w:fldChar w:fldCharType="begin"/>
          </w:r>
          <w:r>
            <w:instrText xml:space="preserve"> HYPERLINK \l "_Toc150435232" </w:instrText>
          </w:r>
          <w:r>
            <w:fldChar w:fldCharType="separate"/>
          </w:r>
          <w:r>
            <w:rPr>
              <w:rStyle w:val="31"/>
              <w:color w:val="000000" w:themeColor="text1"/>
            </w:rPr>
            <w:t>（四）二次供水设施检修养护合规指南</w:t>
          </w:r>
          <w:r>
            <w:rPr>
              <w:color w:val="000000" w:themeColor="text1"/>
            </w:rPr>
            <w:tab/>
          </w:r>
          <w:r>
            <w:rPr>
              <w:color w:val="000000" w:themeColor="text1"/>
            </w:rPr>
            <w:fldChar w:fldCharType="begin"/>
          </w:r>
          <w:r>
            <w:rPr>
              <w:color w:val="000000" w:themeColor="text1"/>
            </w:rPr>
            <w:instrText xml:space="preserve"> PAGEREF _Toc150435232 \h </w:instrText>
          </w:r>
          <w:r>
            <w:rPr>
              <w:color w:val="000000" w:themeColor="text1"/>
            </w:rPr>
            <w:fldChar w:fldCharType="separate"/>
          </w:r>
          <w:r>
            <w:rPr>
              <w:color w:val="000000" w:themeColor="text1"/>
            </w:rPr>
            <w:t>45</w:t>
          </w:r>
          <w:r>
            <w:rPr>
              <w:color w:val="000000" w:themeColor="text1"/>
            </w:rPr>
            <w:fldChar w:fldCharType="end"/>
          </w:r>
          <w:r>
            <w:rPr>
              <w:color w:val="000000" w:themeColor="text1"/>
            </w:rPr>
            <w:fldChar w:fldCharType="end"/>
          </w:r>
        </w:p>
        <w:p>
          <w:pPr>
            <w:pStyle w:val="21"/>
            <w:tabs>
              <w:tab w:val="right" w:leader="dot" w:pos="8296"/>
            </w:tabs>
            <w:rPr>
              <w:color w:val="000000" w:themeColor="text1"/>
              <w:szCs w:val="22"/>
            </w:rPr>
          </w:pPr>
          <w:r>
            <w:fldChar w:fldCharType="begin"/>
          </w:r>
          <w:r>
            <w:instrText xml:space="preserve"> HYPERLINK \l "_Toc150435233" </w:instrText>
          </w:r>
          <w:r>
            <w:fldChar w:fldCharType="separate"/>
          </w:r>
          <w:r>
            <w:rPr>
              <w:rStyle w:val="31"/>
              <w:color w:val="000000" w:themeColor="text1"/>
            </w:rPr>
            <w:t>（五）排水系统检修养护合规指南</w:t>
          </w:r>
          <w:r>
            <w:rPr>
              <w:color w:val="000000" w:themeColor="text1"/>
            </w:rPr>
            <w:tab/>
          </w:r>
          <w:r>
            <w:rPr>
              <w:color w:val="000000" w:themeColor="text1"/>
            </w:rPr>
            <w:fldChar w:fldCharType="begin"/>
          </w:r>
          <w:r>
            <w:rPr>
              <w:color w:val="000000" w:themeColor="text1"/>
            </w:rPr>
            <w:instrText xml:space="preserve"> PAGEREF _Toc150435233 \h </w:instrText>
          </w:r>
          <w:r>
            <w:rPr>
              <w:color w:val="000000" w:themeColor="text1"/>
            </w:rPr>
            <w:fldChar w:fldCharType="separate"/>
          </w:r>
          <w:r>
            <w:rPr>
              <w:color w:val="000000" w:themeColor="text1"/>
            </w:rPr>
            <w:t>47</w:t>
          </w:r>
          <w:r>
            <w:rPr>
              <w:color w:val="000000" w:themeColor="text1"/>
            </w:rPr>
            <w:fldChar w:fldCharType="end"/>
          </w:r>
          <w:r>
            <w:rPr>
              <w:color w:val="000000" w:themeColor="text1"/>
            </w:rPr>
            <w:fldChar w:fldCharType="end"/>
          </w:r>
        </w:p>
        <w:p>
          <w:pPr>
            <w:pStyle w:val="21"/>
            <w:tabs>
              <w:tab w:val="right" w:leader="dot" w:pos="8296"/>
            </w:tabs>
            <w:rPr>
              <w:color w:val="000000" w:themeColor="text1"/>
              <w:szCs w:val="22"/>
            </w:rPr>
          </w:pPr>
          <w:r>
            <w:fldChar w:fldCharType="begin"/>
          </w:r>
          <w:r>
            <w:instrText xml:space="preserve"> HYPERLINK \l "_Toc150435234" </w:instrText>
          </w:r>
          <w:r>
            <w:fldChar w:fldCharType="separate"/>
          </w:r>
          <w:r>
            <w:rPr>
              <w:rStyle w:val="31"/>
              <w:color w:val="000000" w:themeColor="text1"/>
            </w:rPr>
            <w:t>（六）照明和电气设备检修养护合规指南</w:t>
          </w:r>
          <w:r>
            <w:rPr>
              <w:color w:val="000000" w:themeColor="text1"/>
            </w:rPr>
            <w:tab/>
          </w:r>
          <w:r>
            <w:rPr>
              <w:color w:val="000000" w:themeColor="text1"/>
            </w:rPr>
            <w:fldChar w:fldCharType="begin"/>
          </w:r>
          <w:r>
            <w:rPr>
              <w:color w:val="000000" w:themeColor="text1"/>
            </w:rPr>
            <w:instrText xml:space="preserve"> PAGEREF _Toc150435234 \h </w:instrText>
          </w:r>
          <w:r>
            <w:rPr>
              <w:color w:val="000000" w:themeColor="text1"/>
            </w:rPr>
            <w:fldChar w:fldCharType="separate"/>
          </w:r>
          <w:r>
            <w:rPr>
              <w:color w:val="000000" w:themeColor="text1"/>
            </w:rPr>
            <w:t>51</w:t>
          </w:r>
          <w:r>
            <w:rPr>
              <w:color w:val="000000" w:themeColor="text1"/>
            </w:rPr>
            <w:fldChar w:fldCharType="end"/>
          </w:r>
          <w:r>
            <w:rPr>
              <w:color w:val="000000" w:themeColor="text1"/>
            </w:rPr>
            <w:fldChar w:fldCharType="end"/>
          </w:r>
        </w:p>
        <w:p>
          <w:pPr>
            <w:pStyle w:val="21"/>
            <w:tabs>
              <w:tab w:val="right" w:leader="dot" w:pos="8296"/>
            </w:tabs>
            <w:rPr>
              <w:color w:val="000000" w:themeColor="text1"/>
              <w:szCs w:val="22"/>
            </w:rPr>
          </w:pPr>
          <w:r>
            <w:fldChar w:fldCharType="begin"/>
          </w:r>
          <w:r>
            <w:instrText xml:space="preserve"> HYPERLINK \l "_Toc150435235" </w:instrText>
          </w:r>
          <w:r>
            <w:fldChar w:fldCharType="separate"/>
          </w:r>
          <w:r>
            <w:rPr>
              <w:rStyle w:val="31"/>
              <w:color w:val="000000" w:themeColor="text1"/>
            </w:rPr>
            <w:t>（七）安全防范系统检修养护合规指南</w:t>
          </w:r>
          <w:r>
            <w:rPr>
              <w:color w:val="000000" w:themeColor="text1"/>
            </w:rPr>
            <w:tab/>
          </w:r>
          <w:r>
            <w:rPr>
              <w:color w:val="000000" w:themeColor="text1"/>
            </w:rPr>
            <w:fldChar w:fldCharType="begin"/>
          </w:r>
          <w:r>
            <w:rPr>
              <w:color w:val="000000" w:themeColor="text1"/>
            </w:rPr>
            <w:instrText xml:space="preserve"> PAGEREF _Toc150435235 \h </w:instrText>
          </w:r>
          <w:r>
            <w:rPr>
              <w:color w:val="000000" w:themeColor="text1"/>
            </w:rPr>
            <w:fldChar w:fldCharType="separate"/>
          </w:r>
          <w:r>
            <w:rPr>
              <w:color w:val="000000" w:themeColor="text1"/>
            </w:rPr>
            <w:t>58</w:t>
          </w:r>
          <w:r>
            <w:rPr>
              <w:color w:val="000000" w:themeColor="text1"/>
            </w:rPr>
            <w:fldChar w:fldCharType="end"/>
          </w:r>
          <w:r>
            <w:rPr>
              <w:color w:val="000000" w:themeColor="text1"/>
            </w:rPr>
            <w:fldChar w:fldCharType="end"/>
          </w:r>
        </w:p>
        <w:p>
          <w:pPr>
            <w:pStyle w:val="21"/>
            <w:tabs>
              <w:tab w:val="right" w:leader="dot" w:pos="8296"/>
            </w:tabs>
            <w:rPr>
              <w:color w:val="000000" w:themeColor="text1"/>
              <w:szCs w:val="22"/>
            </w:rPr>
          </w:pPr>
          <w:r>
            <w:fldChar w:fldCharType="begin"/>
          </w:r>
          <w:r>
            <w:instrText xml:space="preserve"> HYPERLINK \l "_Toc150435236" </w:instrText>
          </w:r>
          <w:r>
            <w:fldChar w:fldCharType="separate"/>
          </w:r>
          <w:r>
            <w:rPr>
              <w:rStyle w:val="31"/>
              <w:color w:val="000000" w:themeColor="text1"/>
            </w:rPr>
            <w:t>（八）电梯检修养护合规指南</w:t>
          </w:r>
          <w:r>
            <w:rPr>
              <w:color w:val="000000" w:themeColor="text1"/>
            </w:rPr>
            <w:tab/>
          </w:r>
          <w:r>
            <w:rPr>
              <w:color w:val="000000" w:themeColor="text1"/>
            </w:rPr>
            <w:fldChar w:fldCharType="begin"/>
          </w:r>
          <w:r>
            <w:rPr>
              <w:color w:val="000000" w:themeColor="text1"/>
            </w:rPr>
            <w:instrText xml:space="preserve"> PAGEREF _Toc150435236 \h </w:instrText>
          </w:r>
          <w:r>
            <w:rPr>
              <w:color w:val="000000" w:themeColor="text1"/>
            </w:rPr>
            <w:fldChar w:fldCharType="separate"/>
          </w:r>
          <w:r>
            <w:rPr>
              <w:color w:val="000000" w:themeColor="text1"/>
            </w:rPr>
            <w:t>64</w:t>
          </w:r>
          <w:r>
            <w:rPr>
              <w:color w:val="000000" w:themeColor="text1"/>
            </w:rPr>
            <w:fldChar w:fldCharType="end"/>
          </w:r>
          <w:r>
            <w:rPr>
              <w:color w:val="000000" w:themeColor="text1"/>
            </w:rPr>
            <w:fldChar w:fldCharType="end"/>
          </w:r>
        </w:p>
        <w:p>
          <w:pPr>
            <w:pStyle w:val="21"/>
            <w:tabs>
              <w:tab w:val="right" w:leader="dot" w:pos="8296"/>
            </w:tabs>
            <w:rPr>
              <w:color w:val="000000" w:themeColor="text1"/>
              <w:szCs w:val="22"/>
            </w:rPr>
          </w:pPr>
          <w:r>
            <w:fldChar w:fldCharType="begin"/>
          </w:r>
          <w:r>
            <w:instrText xml:space="preserve"> HYPERLINK \l "_Toc150435237" </w:instrText>
          </w:r>
          <w:r>
            <w:fldChar w:fldCharType="separate"/>
          </w:r>
          <w:r>
            <w:rPr>
              <w:rStyle w:val="31"/>
              <w:color w:val="000000" w:themeColor="text1"/>
            </w:rPr>
            <w:t>（九）地下空间管理合规指南</w:t>
          </w:r>
          <w:r>
            <w:rPr>
              <w:color w:val="000000" w:themeColor="text1"/>
            </w:rPr>
            <w:tab/>
          </w:r>
          <w:r>
            <w:rPr>
              <w:color w:val="000000" w:themeColor="text1"/>
            </w:rPr>
            <w:fldChar w:fldCharType="begin"/>
          </w:r>
          <w:r>
            <w:rPr>
              <w:color w:val="000000" w:themeColor="text1"/>
            </w:rPr>
            <w:instrText xml:space="preserve"> PAGEREF _Toc150435237 \h </w:instrText>
          </w:r>
          <w:r>
            <w:rPr>
              <w:color w:val="000000" w:themeColor="text1"/>
            </w:rPr>
            <w:fldChar w:fldCharType="separate"/>
          </w:r>
          <w:r>
            <w:rPr>
              <w:color w:val="000000" w:themeColor="text1"/>
            </w:rPr>
            <w:t>74</w:t>
          </w:r>
          <w:r>
            <w:rPr>
              <w:color w:val="000000" w:themeColor="text1"/>
            </w:rPr>
            <w:fldChar w:fldCharType="end"/>
          </w:r>
          <w:r>
            <w:rPr>
              <w:color w:val="000000" w:themeColor="text1"/>
            </w:rPr>
            <w:fldChar w:fldCharType="end"/>
          </w:r>
        </w:p>
        <w:p>
          <w:pPr>
            <w:pStyle w:val="21"/>
            <w:tabs>
              <w:tab w:val="right" w:leader="dot" w:pos="8296"/>
            </w:tabs>
            <w:rPr>
              <w:color w:val="000000" w:themeColor="text1"/>
              <w:szCs w:val="22"/>
            </w:rPr>
          </w:pPr>
          <w:r>
            <w:fldChar w:fldCharType="begin"/>
          </w:r>
          <w:r>
            <w:instrText xml:space="preserve"> HYPERLINK \l "_Toc150435238" </w:instrText>
          </w:r>
          <w:r>
            <w:fldChar w:fldCharType="separate"/>
          </w:r>
          <w:r>
            <w:rPr>
              <w:rStyle w:val="31"/>
              <w:color w:val="000000" w:themeColor="text1"/>
            </w:rPr>
            <w:t>（十）水景检修养护合规指南</w:t>
          </w:r>
          <w:r>
            <w:rPr>
              <w:color w:val="000000" w:themeColor="text1"/>
            </w:rPr>
            <w:tab/>
          </w:r>
          <w:r>
            <w:rPr>
              <w:color w:val="000000" w:themeColor="text1"/>
            </w:rPr>
            <w:fldChar w:fldCharType="begin"/>
          </w:r>
          <w:r>
            <w:rPr>
              <w:color w:val="000000" w:themeColor="text1"/>
            </w:rPr>
            <w:instrText xml:space="preserve"> PAGEREF _Toc150435238 \h </w:instrText>
          </w:r>
          <w:r>
            <w:rPr>
              <w:color w:val="000000" w:themeColor="text1"/>
            </w:rPr>
            <w:fldChar w:fldCharType="separate"/>
          </w:r>
          <w:r>
            <w:rPr>
              <w:color w:val="000000" w:themeColor="text1"/>
            </w:rPr>
            <w:t>81</w:t>
          </w:r>
          <w:r>
            <w:rPr>
              <w:color w:val="000000" w:themeColor="text1"/>
            </w:rPr>
            <w:fldChar w:fldCharType="end"/>
          </w:r>
          <w:r>
            <w:rPr>
              <w:color w:val="000000" w:themeColor="text1"/>
            </w:rPr>
            <w:fldChar w:fldCharType="end"/>
          </w:r>
        </w:p>
        <w:p>
          <w:pPr>
            <w:pStyle w:val="21"/>
            <w:tabs>
              <w:tab w:val="right" w:leader="dot" w:pos="8296"/>
            </w:tabs>
            <w:rPr>
              <w:color w:val="000000" w:themeColor="text1"/>
              <w:szCs w:val="22"/>
            </w:rPr>
          </w:pPr>
          <w:r>
            <w:fldChar w:fldCharType="begin"/>
          </w:r>
          <w:r>
            <w:instrText xml:space="preserve"> HYPERLINK \l "_Toc150435239" </w:instrText>
          </w:r>
          <w:r>
            <w:fldChar w:fldCharType="separate"/>
          </w:r>
          <w:r>
            <w:rPr>
              <w:rStyle w:val="31"/>
              <w:color w:val="000000" w:themeColor="text1"/>
            </w:rPr>
            <w:t>（十一）消防安全防范及设施检修养护合规指南</w:t>
          </w:r>
          <w:r>
            <w:rPr>
              <w:color w:val="000000" w:themeColor="text1"/>
            </w:rPr>
            <w:tab/>
          </w:r>
          <w:r>
            <w:rPr>
              <w:color w:val="000000" w:themeColor="text1"/>
            </w:rPr>
            <w:fldChar w:fldCharType="begin"/>
          </w:r>
          <w:r>
            <w:rPr>
              <w:color w:val="000000" w:themeColor="text1"/>
            </w:rPr>
            <w:instrText xml:space="preserve"> PAGEREF _Toc150435239 \h </w:instrText>
          </w:r>
          <w:r>
            <w:rPr>
              <w:color w:val="000000" w:themeColor="text1"/>
            </w:rPr>
            <w:fldChar w:fldCharType="separate"/>
          </w:r>
          <w:r>
            <w:rPr>
              <w:color w:val="000000" w:themeColor="text1"/>
            </w:rPr>
            <w:t>82</w:t>
          </w:r>
          <w:r>
            <w:rPr>
              <w:color w:val="000000" w:themeColor="text1"/>
            </w:rPr>
            <w:fldChar w:fldCharType="end"/>
          </w:r>
          <w:r>
            <w:rPr>
              <w:color w:val="000000" w:themeColor="text1"/>
            </w:rPr>
            <w:fldChar w:fldCharType="end"/>
          </w:r>
        </w:p>
        <w:p>
          <w:pPr>
            <w:pStyle w:val="18"/>
            <w:rPr>
              <w:rFonts w:asciiTheme="minorHAnsi" w:eastAsiaTheme="minorEastAsia"/>
              <w:b w:val="0"/>
              <w:color w:val="000000" w:themeColor="text1"/>
              <w:szCs w:val="22"/>
            </w:rPr>
          </w:pPr>
          <w:r>
            <w:fldChar w:fldCharType="begin"/>
          </w:r>
          <w:r>
            <w:instrText xml:space="preserve"> HYPERLINK \l "_Toc150435240" </w:instrText>
          </w:r>
          <w:r>
            <w:fldChar w:fldCharType="separate"/>
          </w:r>
          <w:r>
            <w:rPr>
              <w:rStyle w:val="31"/>
              <w:color w:val="000000" w:themeColor="text1"/>
            </w:rPr>
            <w:t>三、绿化养护合规指南</w:t>
          </w:r>
          <w:r>
            <w:rPr>
              <w:color w:val="000000" w:themeColor="text1"/>
            </w:rPr>
            <w:tab/>
          </w:r>
          <w:r>
            <w:rPr>
              <w:color w:val="000000" w:themeColor="text1"/>
            </w:rPr>
            <w:fldChar w:fldCharType="begin"/>
          </w:r>
          <w:r>
            <w:rPr>
              <w:color w:val="000000" w:themeColor="text1"/>
            </w:rPr>
            <w:instrText xml:space="preserve"> PAGEREF _Toc150435240 \h </w:instrText>
          </w:r>
          <w:r>
            <w:rPr>
              <w:color w:val="000000" w:themeColor="text1"/>
            </w:rPr>
            <w:fldChar w:fldCharType="separate"/>
          </w:r>
          <w:r>
            <w:rPr>
              <w:color w:val="000000" w:themeColor="text1"/>
            </w:rPr>
            <w:t>93</w:t>
          </w:r>
          <w:r>
            <w:rPr>
              <w:color w:val="000000" w:themeColor="text1"/>
            </w:rPr>
            <w:fldChar w:fldCharType="end"/>
          </w:r>
          <w:r>
            <w:rPr>
              <w:color w:val="000000" w:themeColor="text1"/>
            </w:rPr>
            <w:fldChar w:fldCharType="end"/>
          </w:r>
        </w:p>
        <w:p>
          <w:pPr>
            <w:pStyle w:val="21"/>
            <w:tabs>
              <w:tab w:val="right" w:leader="dot" w:pos="8296"/>
            </w:tabs>
            <w:rPr>
              <w:color w:val="000000" w:themeColor="text1"/>
              <w:szCs w:val="22"/>
            </w:rPr>
          </w:pPr>
          <w:r>
            <w:fldChar w:fldCharType="begin"/>
          </w:r>
          <w:r>
            <w:instrText xml:space="preserve"> HYPERLINK \l "_Toc150435241" </w:instrText>
          </w:r>
          <w:r>
            <w:fldChar w:fldCharType="separate"/>
          </w:r>
          <w:r>
            <w:rPr>
              <w:rStyle w:val="31"/>
              <w:color w:val="000000" w:themeColor="text1"/>
            </w:rPr>
            <w:t>（一）养护标准</w:t>
          </w:r>
          <w:r>
            <w:rPr>
              <w:color w:val="000000" w:themeColor="text1"/>
            </w:rPr>
            <w:tab/>
          </w:r>
          <w:r>
            <w:rPr>
              <w:color w:val="000000" w:themeColor="text1"/>
            </w:rPr>
            <w:fldChar w:fldCharType="begin"/>
          </w:r>
          <w:r>
            <w:rPr>
              <w:color w:val="000000" w:themeColor="text1"/>
            </w:rPr>
            <w:instrText xml:space="preserve"> PAGEREF _Toc150435241 \h </w:instrText>
          </w:r>
          <w:r>
            <w:rPr>
              <w:color w:val="000000" w:themeColor="text1"/>
            </w:rPr>
            <w:fldChar w:fldCharType="separate"/>
          </w:r>
          <w:r>
            <w:rPr>
              <w:color w:val="000000" w:themeColor="text1"/>
            </w:rPr>
            <w:t>93</w:t>
          </w:r>
          <w:r>
            <w:rPr>
              <w:color w:val="000000" w:themeColor="text1"/>
            </w:rPr>
            <w:fldChar w:fldCharType="end"/>
          </w:r>
          <w:r>
            <w:rPr>
              <w:color w:val="000000" w:themeColor="text1"/>
            </w:rPr>
            <w:fldChar w:fldCharType="end"/>
          </w:r>
        </w:p>
        <w:p>
          <w:pPr>
            <w:pStyle w:val="21"/>
            <w:tabs>
              <w:tab w:val="right" w:leader="dot" w:pos="8296"/>
            </w:tabs>
            <w:rPr>
              <w:color w:val="000000" w:themeColor="text1"/>
              <w:szCs w:val="22"/>
            </w:rPr>
          </w:pPr>
          <w:r>
            <w:fldChar w:fldCharType="begin"/>
          </w:r>
          <w:r>
            <w:instrText xml:space="preserve"> HYPERLINK \l "_Toc150435242" </w:instrText>
          </w:r>
          <w:r>
            <w:fldChar w:fldCharType="separate"/>
          </w:r>
          <w:r>
            <w:rPr>
              <w:rStyle w:val="31"/>
              <w:color w:val="000000" w:themeColor="text1"/>
            </w:rPr>
            <w:t>（二）绿化养护内容</w:t>
          </w:r>
          <w:r>
            <w:rPr>
              <w:color w:val="000000" w:themeColor="text1"/>
            </w:rPr>
            <w:tab/>
          </w:r>
          <w:r>
            <w:rPr>
              <w:color w:val="000000" w:themeColor="text1"/>
            </w:rPr>
            <w:fldChar w:fldCharType="begin"/>
          </w:r>
          <w:r>
            <w:rPr>
              <w:color w:val="000000" w:themeColor="text1"/>
            </w:rPr>
            <w:instrText xml:space="preserve"> PAGEREF _Toc150435242 \h </w:instrText>
          </w:r>
          <w:r>
            <w:rPr>
              <w:color w:val="000000" w:themeColor="text1"/>
            </w:rPr>
            <w:fldChar w:fldCharType="separate"/>
          </w:r>
          <w:r>
            <w:rPr>
              <w:color w:val="000000" w:themeColor="text1"/>
            </w:rPr>
            <w:t>95</w:t>
          </w:r>
          <w:r>
            <w:rPr>
              <w:color w:val="000000" w:themeColor="text1"/>
            </w:rPr>
            <w:fldChar w:fldCharType="end"/>
          </w:r>
          <w:r>
            <w:rPr>
              <w:color w:val="000000" w:themeColor="text1"/>
            </w:rPr>
            <w:fldChar w:fldCharType="end"/>
          </w:r>
        </w:p>
        <w:p>
          <w:pPr>
            <w:pStyle w:val="21"/>
            <w:tabs>
              <w:tab w:val="right" w:leader="dot" w:pos="8296"/>
            </w:tabs>
            <w:rPr>
              <w:color w:val="000000" w:themeColor="text1"/>
              <w:szCs w:val="22"/>
            </w:rPr>
          </w:pPr>
          <w:r>
            <w:fldChar w:fldCharType="begin"/>
          </w:r>
          <w:r>
            <w:instrText xml:space="preserve"> HYPERLINK \l "_Toc150435243" </w:instrText>
          </w:r>
          <w:r>
            <w:fldChar w:fldCharType="separate"/>
          </w:r>
          <w:r>
            <w:rPr>
              <w:rStyle w:val="31"/>
              <w:color w:val="000000" w:themeColor="text1"/>
            </w:rPr>
            <w:t>（三）工作检查和记录要求</w:t>
          </w:r>
          <w:r>
            <w:rPr>
              <w:color w:val="000000" w:themeColor="text1"/>
            </w:rPr>
            <w:tab/>
          </w:r>
          <w:r>
            <w:rPr>
              <w:color w:val="000000" w:themeColor="text1"/>
            </w:rPr>
            <w:fldChar w:fldCharType="begin"/>
          </w:r>
          <w:r>
            <w:rPr>
              <w:color w:val="000000" w:themeColor="text1"/>
            </w:rPr>
            <w:instrText xml:space="preserve"> PAGEREF _Toc150435243 \h </w:instrText>
          </w:r>
          <w:r>
            <w:rPr>
              <w:color w:val="000000" w:themeColor="text1"/>
            </w:rPr>
            <w:fldChar w:fldCharType="separate"/>
          </w:r>
          <w:r>
            <w:rPr>
              <w:color w:val="000000" w:themeColor="text1"/>
            </w:rPr>
            <w:t>102</w:t>
          </w:r>
          <w:r>
            <w:rPr>
              <w:color w:val="000000" w:themeColor="text1"/>
            </w:rPr>
            <w:fldChar w:fldCharType="end"/>
          </w:r>
          <w:r>
            <w:rPr>
              <w:color w:val="000000" w:themeColor="text1"/>
            </w:rPr>
            <w:fldChar w:fldCharType="end"/>
          </w:r>
        </w:p>
        <w:p>
          <w:pPr>
            <w:pStyle w:val="18"/>
            <w:rPr>
              <w:rFonts w:asciiTheme="minorHAnsi" w:eastAsiaTheme="minorEastAsia"/>
              <w:b w:val="0"/>
              <w:color w:val="000000" w:themeColor="text1"/>
              <w:szCs w:val="22"/>
            </w:rPr>
          </w:pPr>
          <w:r>
            <w:fldChar w:fldCharType="begin"/>
          </w:r>
          <w:r>
            <w:instrText xml:space="preserve"> HYPERLINK \l "_Toc150435244" </w:instrText>
          </w:r>
          <w:r>
            <w:fldChar w:fldCharType="separate"/>
          </w:r>
          <w:r>
            <w:rPr>
              <w:rStyle w:val="31"/>
              <w:color w:val="000000" w:themeColor="text1"/>
            </w:rPr>
            <w:t>四、环境卫生维护合规指南</w:t>
          </w:r>
          <w:r>
            <w:rPr>
              <w:color w:val="000000" w:themeColor="text1"/>
            </w:rPr>
            <w:tab/>
          </w:r>
          <w:r>
            <w:rPr>
              <w:color w:val="000000" w:themeColor="text1"/>
            </w:rPr>
            <w:fldChar w:fldCharType="begin"/>
          </w:r>
          <w:r>
            <w:rPr>
              <w:color w:val="000000" w:themeColor="text1"/>
            </w:rPr>
            <w:instrText xml:space="preserve"> PAGEREF _Toc150435244 \h </w:instrText>
          </w:r>
          <w:r>
            <w:rPr>
              <w:color w:val="000000" w:themeColor="text1"/>
            </w:rPr>
            <w:fldChar w:fldCharType="separate"/>
          </w:r>
          <w:r>
            <w:rPr>
              <w:color w:val="000000" w:themeColor="text1"/>
            </w:rPr>
            <w:t>103</w:t>
          </w:r>
          <w:r>
            <w:rPr>
              <w:color w:val="000000" w:themeColor="text1"/>
            </w:rPr>
            <w:fldChar w:fldCharType="end"/>
          </w:r>
          <w:r>
            <w:rPr>
              <w:color w:val="000000" w:themeColor="text1"/>
            </w:rPr>
            <w:fldChar w:fldCharType="end"/>
          </w:r>
        </w:p>
        <w:p>
          <w:pPr>
            <w:pStyle w:val="21"/>
            <w:tabs>
              <w:tab w:val="right" w:leader="dot" w:pos="8296"/>
            </w:tabs>
            <w:rPr>
              <w:color w:val="000000" w:themeColor="text1"/>
              <w:szCs w:val="22"/>
            </w:rPr>
          </w:pPr>
          <w:r>
            <w:fldChar w:fldCharType="begin"/>
          </w:r>
          <w:r>
            <w:instrText xml:space="preserve"> HYPERLINK \l "_Toc150435245" </w:instrText>
          </w:r>
          <w:r>
            <w:fldChar w:fldCharType="separate"/>
          </w:r>
          <w:r>
            <w:rPr>
              <w:rStyle w:val="31"/>
              <w:color w:val="000000" w:themeColor="text1"/>
            </w:rPr>
            <w:t>（一）生活垃圾的分类与收集</w:t>
          </w:r>
          <w:r>
            <w:rPr>
              <w:color w:val="000000" w:themeColor="text1"/>
            </w:rPr>
            <w:tab/>
          </w:r>
          <w:r>
            <w:rPr>
              <w:color w:val="000000" w:themeColor="text1"/>
            </w:rPr>
            <w:fldChar w:fldCharType="begin"/>
          </w:r>
          <w:r>
            <w:rPr>
              <w:color w:val="000000" w:themeColor="text1"/>
            </w:rPr>
            <w:instrText xml:space="preserve"> PAGEREF _Toc150435245 \h </w:instrText>
          </w:r>
          <w:r>
            <w:rPr>
              <w:color w:val="000000" w:themeColor="text1"/>
            </w:rPr>
            <w:fldChar w:fldCharType="separate"/>
          </w:r>
          <w:r>
            <w:rPr>
              <w:color w:val="000000" w:themeColor="text1"/>
            </w:rPr>
            <w:t>103</w:t>
          </w:r>
          <w:r>
            <w:rPr>
              <w:color w:val="000000" w:themeColor="text1"/>
            </w:rPr>
            <w:fldChar w:fldCharType="end"/>
          </w:r>
          <w:r>
            <w:rPr>
              <w:color w:val="000000" w:themeColor="text1"/>
            </w:rPr>
            <w:fldChar w:fldCharType="end"/>
          </w:r>
        </w:p>
        <w:p>
          <w:pPr>
            <w:pStyle w:val="21"/>
            <w:tabs>
              <w:tab w:val="left" w:pos="1680"/>
              <w:tab w:val="right" w:leader="dot" w:pos="8296"/>
            </w:tabs>
            <w:rPr>
              <w:color w:val="000000" w:themeColor="text1"/>
              <w:szCs w:val="22"/>
            </w:rPr>
          </w:pPr>
          <w:r>
            <w:fldChar w:fldCharType="begin"/>
          </w:r>
          <w:r>
            <w:instrText xml:space="preserve"> HYPERLINK \l "_Toc150435246" </w:instrText>
          </w:r>
          <w:r>
            <w:fldChar w:fldCharType="separate"/>
          </w:r>
          <w:r>
            <w:rPr>
              <w:rStyle w:val="31"/>
              <w:color w:val="000000" w:themeColor="text1"/>
            </w:rPr>
            <w:t>（二）建筑垃圾的收集管理</w:t>
          </w:r>
          <w:r>
            <w:rPr>
              <w:color w:val="000000" w:themeColor="text1"/>
            </w:rPr>
            <w:tab/>
          </w:r>
          <w:r>
            <w:rPr>
              <w:color w:val="000000" w:themeColor="text1"/>
            </w:rPr>
            <w:fldChar w:fldCharType="begin"/>
          </w:r>
          <w:r>
            <w:rPr>
              <w:color w:val="000000" w:themeColor="text1"/>
            </w:rPr>
            <w:instrText xml:space="preserve"> PAGEREF _Toc150435246 \h </w:instrText>
          </w:r>
          <w:r>
            <w:rPr>
              <w:color w:val="000000" w:themeColor="text1"/>
            </w:rPr>
            <w:fldChar w:fldCharType="separate"/>
          </w:r>
          <w:r>
            <w:rPr>
              <w:color w:val="000000" w:themeColor="text1"/>
            </w:rPr>
            <w:t>108</w:t>
          </w:r>
          <w:r>
            <w:rPr>
              <w:color w:val="000000" w:themeColor="text1"/>
            </w:rPr>
            <w:fldChar w:fldCharType="end"/>
          </w:r>
          <w:r>
            <w:rPr>
              <w:color w:val="000000" w:themeColor="text1"/>
            </w:rPr>
            <w:fldChar w:fldCharType="end"/>
          </w:r>
        </w:p>
        <w:p>
          <w:pPr>
            <w:pStyle w:val="21"/>
            <w:tabs>
              <w:tab w:val="right" w:leader="dot" w:pos="8296"/>
            </w:tabs>
            <w:rPr>
              <w:color w:val="000000" w:themeColor="text1"/>
              <w:szCs w:val="22"/>
            </w:rPr>
          </w:pPr>
          <w:r>
            <w:fldChar w:fldCharType="begin"/>
          </w:r>
          <w:r>
            <w:instrText xml:space="preserve"> HYPERLINK \l "_Toc150435247" </w:instrText>
          </w:r>
          <w:r>
            <w:fldChar w:fldCharType="separate"/>
          </w:r>
          <w:r>
            <w:rPr>
              <w:rStyle w:val="31"/>
              <w:color w:val="000000" w:themeColor="text1"/>
            </w:rPr>
            <w:t>（三）市容环境卫生</w:t>
          </w:r>
          <w:r>
            <w:rPr>
              <w:color w:val="000000" w:themeColor="text1"/>
            </w:rPr>
            <w:tab/>
          </w:r>
          <w:r>
            <w:rPr>
              <w:color w:val="000000" w:themeColor="text1"/>
            </w:rPr>
            <w:fldChar w:fldCharType="begin"/>
          </w:r>
          <w:r>
            <w:rPr>
              <w:color w:val="000000" w:themeColor="text1"/>
            </w:rPr>
            <w:instrText xml:space="preserve"> PAGEREF _Toc150435247 \h </w:instrText>
          </w:r>
          <w:r>
            <w:rPr>
              <w:color w:val="000000" w:themeColor="text1"/>
            </w:rPr>
            <w:fldChar w:fldCharType="separate"/>
          </w:r>
          <w:r>
            <w:rPr>
              <w:color w:val="000000" w:themeColor="text1"/>
            </w:rPr>
            <w:t>110</w:t>
          </w:r>
          <w:r>
            <w:rPr>
              <w:color w:val="000000" w:themeColor="text1"/>
            </w:rPr>
            <w:fldChar w:fldCharType="end"/>
          </w:r>
          <w:r>
            <w:rPr>
              <w:color w:val="000000" w:themeColor="text1"/>
            </w:rPr>
            <w:fldChar w:fldCharType="end"/>
          </w:r>
        </w:p>
        <w:p>
          <w:pPr>
            <w:pStyle w:val="21"/>
            <w:tabs>
              <w:tab w:val="right" w:leader="dot" w:pos="8296"/>
            </w:tabs>
            <w:rPr>
              <w:color w:val="000000" w:themeColor="text1"/>
              <w:szCs w:val="22"/>
            </w:rPr>
          </w:pPr>
          <w:r>
            <w:fldChar w:fldCharType="begin"/>
          </w:r>
          <w:r>
            <w:instrText xml:space="preserve"> HYPERLINK \l "_Toc150435248" </w:instrText>
          </w:r>
          <w:r>
            <w:fldChar w:fldCharType="separate"/>
          </w:r>
          <w:r>
            <w:rPr>
              <w:rStyle w:val="31"/>
              <w:color w:val="000000" w:themeColor="text1"/>
            </w:rPr>
            <w:t>（四）灭四害</w:t>
          </w:r>
          <w:r>
            <w:rPr>
              <w:color w:val="000000" w:themeColor="text1"/>
            </w:rPr>
            <w:tab/>
          </w:r>
          <w:r>
            <w:rPr>
              <w:color w:val="000000" w:themeColor="text1"/>
            </w:rPr>
            <w:fldChar w:fldCharType="begin"/>
          </w:r>
          <w:r>
            <w:rPr>
              <w:color w:val="000000" w:themeColor="text1"/>
            </w:rPr>
            <w:instrText xml:space="preserve"> PAGEREF _Toc150435248 \h </w:instrText>
          </w:r>
          <w:r>
            <w:rPr>
              <w:color w:val="000000" w:themeColor="text1"/>
            </w:rPr>
            <w:fldChar w:fldCharType="separate"/>
          </w:r>
          <w:r>
            <w:rPr>
              <w:color w:val="000000" w:themeColor="text1"/>
            </w:rPr>
            <w:t>112</w:t>
          </w:r>
          <w:r>
            <w:rPr>
              <w:color w:val="000000" w:themeColor="text1"/>
            </w:rPr>
            <w:fldChar w:fldCharType="end"/>
          </w:r>
          <w:r>
            <w:rPr>
              <w:color w:val="000000" w:themeColor="text1"/>
            </w:rPr>
            <w:fldChar w:fldCharType="end"/>
          </w:r>
        </w:p>
        <w:p>
          <w:pPr>
            <w:pStyle w:val="21"/>
            <w:tabs>
              <w:tab w:val="right" w:leader="dot" w:pos="8296"/>
            </w:tabs>
            <w:rPr>
              <w:color w:val="000000" w:themeColor="text1"/>
              <w:szCs w:val="22"/>
            </w:rPr>
          </w:pPr>
          <w:r>
            <w:fldChar w:fldCharType="begin"/>
          </w:r>
          <w:r>
            <w:instrText xml:space="preserve"> HYPERLINK \l "_Toc150435249" </w:instrText>
          </w:r>
          <w:r>
            <w:fldChar w:fldCharType="separate"/>
          </w:r>
          <w:r>
            <w:rPr>
              <w:rStyle w:val="31"/>
              <w:color w:val="000000" w:themeColor="text1"/>
            </w:rPr>
            <w:t>（五）物业共用部分清洁</w:t>
          </w:r>
          <w:r>
            <w:rPr>
              <w:color w:val="000000" w:themeColor="text1"/>
            </w:rPr>
            <w:tab/>
          </w:r>
          <w:r>
            <w:rPr>
              <w:color w:val="000000" w:themeColor="text1"/>
            </w:rPr>
            <w:fldChar w:fldCharType="begin"/>
          </w:r>
          <w:r>
            <w:rPr>
              <w:color w:val="000000" w:themeColor="text1"/>
            </w:rPr>
            <w:instrText xml:space="preserve"> PAGEREF _Toc150435249 \h </w:instrText>
          </w:r>
          <w:r>
            <w:rPr>
              <w:color w:val="000000" w:themeColor="text1"/>
            </w:rPr>
            <w:fldChar w:fldCharType="separate"/>
          </w:r>
          <w:r>
            <w:rPr>
              <w:color w:val="000000" w:themeColor="text1"/>
            </w:rPr>
            <w:t>113</w:t>
          </w:r>
          <w:r>
            <w:rPr>
              <w:color w:val="000000" w:themeColor="text1"/>
            </w:rPr>
            <w:fldChar w:fldCharType="end"/>
          </w:r>
          <w:r>
            <w:rPr>
              <w:color w:val="000000" w:themeColor="text1"/>
            </w:rPr>
            <w:fldChar w:fldCharType="end"/>
          </w:r>
        </w:p>
        <w:p>
          <w:pPr>
            <w:pStyle w:val="21"/>
            <w:tabs>
              <w:tab w:val="right" w:leader="dot" w:pos="8296"/>
            </w:tabs>
            <w:rPr>
              <w:color w:val="000000" w:themeColor="text1"/>
              <w:szCs w:val="22"/>
            </w:rPr>
          </w:pPr>
          <w:r>
            <w:fldChar w:fldCharType="begin"/>
          </w:r>
          <w:r>
            <w:instrText xml:space="preserve"> HYPERLINK \l "_Toc150435250" </w:instrText>
          </w:r>
          <w:r>
            <w:fldChar w:fldCharType="separate"/>
          </w:r>
          <w:r>
            <w:rPr>
              <w:rStyle w:val="31"/>
              <w:color w:val="000000" w:themeColor="text1"/>
            </w:rPr>
            <w:t>（六）工作检查和记录</w:t>
          </w:r>
          <w:r>
            <w:rPr>
              <w:color w:val="000000" w:themeColor="text1"/>
            </w:rPr>
            <w:tab/>
          </w:r>
          <w:r>
            <w:rPr>
              <w:color w:val="000000" w:themeColor="text1"/>
            </w:rPr>
            <w:fldChar w:fldCharType="begin"/>
          </w:r>
          <w:r>
            <w:rPr>
              <w:color w:val="000000" w:themeColor="text1"/>
            </w:rPr>
            <w:instrText xml:space="preserve"> PAGEREF _Toc150435250 \h </w:instrText>
          </w:r>
          <w:r>
            <w:rPr>
              <w:color w:val="000000" w:themeColor="text1"/>
            </w:rPr>
            <w:fldChar w:fldCharType="separate"/>
          </w:r>
          <w:r>
            <w:rPr>
              <w:color w:val="000000" w:themeColor="text1"/>
            </w:rPr>
            <w:t>117</w:t>
          </w:r>
          <w:r>
            <w:rPr>
              <w:color w:val="000000" w:themeColor="text1"/>
            </w:rPr>
            <w:fldChar w:fldCharType="end"/>
          </w:r>
          <w:r>
            <w:rPr>
              <w:color w:val="000000" w:themeColor="text1"/>
            </w:rPr>
            <w:fldChar w:fldCharType="end"/>
          </w:r>
        </w:p>
        <w:p>
          <w:pPr>
            <w:pStyle w:val="18"/>
            <w:rPr>
              <w:rFonts w:asciiTheme="minorHAnsi" w:eastAsiaTheme="minorEastAsia"/>
              <w:b w:val="0"/>
              <w:color w:val="000000" w:themeColor="text1"/>
              <w:szCs w:val="22"/>
            </w:rPr>
          </w:pPr>
          <w:r>
            <w:fldChar w:fldCharType="begin"/>
          </w:r>
          <w:r>
            <w:instrText xml:space="preserve"> HYPERLINK \l "_Toc150435251" </w:instrText>
          </w:r>
          <w:r>
            <w:fldChar w:fldCharType="separate"/>
          </w:r>
          <w:r>
            <w:rPr>
              <w:rStyle w:val="31"/>
              <w:color w:val="000000" w:themeColor="text1"/>
            </w:rPr>
            <w:t>五、公共秩序维护合规指南</w:t>
          </w:r>
          <w:r>
            <w:rPr>
              <w:color w:val="000000" w:themeColor="text1"/>
            </w:rPr>
            <w:tab/>
          </w:r>
          <w:r>
            <w:rPr>
              <w:color w:val="000000" w:themeColor="text1"/>
            </w:rPr>
            <w:fldChar w:fldCharType="begin"/>
          </w:r>
          <w:r>
            <w:rPr>
              <w:color w:val="000000" w:themeColor="text1"/>
            </w:rPr>
            <w:instrText xml:space="preserve"> PAGEREF _Toc150435251 \h </w:instrText>
          </w:r>
          <w:r>
            <w:rPr>
              <w:color w:val="000000" w:themeColor="text1"/>
            </w:rPr>
            <w:fldChar w:fldCharType="separate"/>
          </w:r>
          <w:r>
            <w:rPr>
              <w:color w:val="000000" w:themeColor="text1"/>
            </w:rPr>
            <w:t>118</w:t>
          </w:r>
          <w:r>
            <w:rPr>
              <w:color w:val="000000" w:themeColor="text1"/>
            </w:rPr>
            <w:fldChar w:fldCharType="end"/>
          </w:r>
          <w:r>
            <w:rPr>
              <w:color w:val="000000" w:themeColor="text1"/>
            </w:rPr>
            <w:fldChar w:fldCharType="end"/>
          </w:r>
        </w:p>
        <w:p>
          <w:pPr>
            <w:pStyle w:val="21"/>
            <w:tabs>
              <w:tab w:val="right" w:leader="dot" w:pos="8296"/>
            </w:tabs>
            <w:rPr>
              <w:color w:val="000000" w:themeColor="text1"/>
              <w:szCs w:val="22"/>
            </w:rPr>
          </w:pPr>
          <w:r>
            <w:fldChar w:fldCharType="begin"/>
          </w:r>
          <w:r>
            <w:instrText xml:space="preserve"> HYPERLINK \l "_Toc150435252" </w:instrText>
          </w:r>
          <w:r>
            <w:fldChar w:fldCharType="separate"/>
          </w:r>
          <w:r>
            <w:rPr>
              <w:rStyle w:val="31"/>
              <w:color w:val="000000" w:themeColor="text1"/>
            </w:rPr>
            <w:t>（一）相关要求</w:t>
          </w:r>
          <w:r>
            <w:rPr>
              <w:color w:val="000000" w:themeColor="text1"/>
            </w:rPr>
            <w:tab/>
          </w:r>
          <w:r>
            <w:rPr>
              <w:color w:val="000000" w:themeColor="text1"/>
            </w:rPr>
            <w:fldChar w:fldCharType="begin"/>
          </w:r>
          <w:r>
            <w:rPr>
              <w:color w:val="000000" w:themeColor="text1"/>
            </w:rPr>
            <w:instrText xml:space="preserve"> PAGEREF _Toc150435252 \h </w:instrText>
          </w:r>
          <w:r>
            <w:rPr>
              <w:color w:val="000000" w:themeColor="text1"/>
            </w:rPr>
            <w:fldChar w:fldCharType="separate"/>
          </w:r>
          <w:r>
            <w:rPr>
              <w:color w:val="000000" w:themeColor="text1"/>
            </w:rPr>
            <w:t>118</w:t>
          </w:r>
          <w:r>
            <w:rPr>
              <w:color w:val="000000" w:themeColor="text1"/>
            </w:rPr>
            <w:fldChar w:fldCharType="end"/>
          </w:r>
          <w:r>
            <w:rPr>
              <w:color w:val="000000" w:themeColor="text1"/>
            </w:rPr>
            <w:fldChar w:fldCharType="end"/>
          </w:r>
        </w:p>
        <w:p>
          <w:pPr>
            <w:pStyle w:val="21"/>
            <w:tabs>
              <w:tab w:val="right" w:leader="dot" w:pos="8296"/>
            </w:tabs>
            <w:rPr>
              <w:color w:val="000000" w:themeColor="text1"/>
              <w:szCs w:val="22"/>
            </w:rPr>
          </w:pPr>
          <w:r>
            <w:fldChar w:fldCharType="begin"/>
          </w:r>
          <w:r>
            <w:instrText xml:space="preserve"> HYPERLINK \l "_Toc150435253" </w:instrText>
          </w:r>
          <w:r>
            <w:fldChar w:fldCharType="separate"/>
          </w:r>
          <w:r>
            <w:rPr>
              <w:rStyle w:val="31"/>
              <w:color w:val="000000" w:themeColor="text1"/>
            </w:rPr>
            <w:t>（二）服务标准</w:t>
          </w:r>
          <w:r>
            <w:rPr>
              <w:color w:val="000000" w:themeColor="text1"/>
            </w:rPr>
            <w:tab/>
          </w:r>
          <w:r>
            <w:rPr>
              <w:color w:val="000000" w:themeColor="text1"/>
            </w:rPr>
            <w:fldChar w:fldCharType="begin"/>
          </w:r>
          <w:r>
            <w:rPr>
              <w:color w:val="000000" w:themeColor="text1"/>
            </w:rPr>
            <w:instrText xml:space="preserve"> PAGEREF _Toc150435253 \h </w:instrText>
          </w:r>
          <w:r>
            <w:rPr>
              <w:color w:val="000000" w:themeColor="text1"/>
            </w:rPr>
            <w:fldChar w:fldCharType="separate"/>
          </w:r>
          <w:r>
            <w:rPr>
              <w:color w:val="000000" w:themeColor="text1"/>
            </w:rPr>
            <w:t>122</w:t>
          </w:r>
          <w:r>
            <w:rPr>
              <w:color w:val="000000" w:themeColor="text1"/>
            </w:rPr>
            <w:fldChar w:fldCharType="end"/>
          </w:r>
          <w:r>
            <w:rPr>
              <w:color w:val="000000" w:themeColor="text1"/>
            </w:rPr>
            <w:fldChar w:fldCharType="end"/>
          </w:r>
        </w:p>
        <w:p>
          <w:pPr>
            <w:pStyle w:val="21"/>
            <w:tabs>
              <w:tab w:val="right" w:leader="dot" w:pos="8296"/>
            </w:tabs>
            <w:rPr>
              <w:color w:val="000000" w:themeColor="text1"/>
              <w:szCs w:val="22"/>
            </w:rPr>
          </w:pPr>
          <w:r>
            <w:fldChar w:fldCharType="begin"/>
          </w:r>
          <w:r>
            <w:instrText xml:space="preserve"> HYPERLINK \l "_Toc150435254" </w:instrText>
          </w:r>
          <w:r>
            <w:fldChar w:fldCharType="separate"/>
          </w:r>
          <w:r>
            <w:rPr>
              <w:rStyle w:val="31"/>
              <w:color w:val="000000" w:themeColor="text1"/>
            </w:rPr>
            <w:t>（三）风险提示</w:t>
          </w:r>
          <w:r>
            <w:rPr>
              <w:color w:val="000000" w:themeColor="text1"/>
            </w:rPr>
            <w:tab/>
          </w:r>
          <w:r>
            <w:rPr>
              <w:color w:val="000000" w:themeColor="text1"/>
            </w:rPr>
            <w:fldChar w:fldCharType="begin"/>
          </w:r>
          <w:r>
            <w:rPr>
              <w:color w:val="000000" w:themeColor="text1"/>
            </w:rPr>
            <w:instrText xml:space="preserve"> PAGEREF _Toc150435254 \h </w:instrText>
          </w:r>
          <w:r>
            <w:rPr>
              <w:color w:val="000000" w:themeColor="text1"/>
            </w:rPr>
            <w:fldChar w:fldCharType="separate"/>
          </w:r>
          <w:r>
            <w:rPr>
              <w:color w:val="000000" w:themeColor="text1"/>
            </w:rPr>
            <w:t>124</w:t>
          </w:r>
          <w:r>
            <w:rPr>
              <w:color w:val="000000" w:themeColor="text1"/>
            </w:rPr>
            <w:fldChar w:fldCharType="end"/>
          </w:r>
          <w:r>
            <w:rPr>
              <w:color w:val="000000" w:themeColor="text1"/>
            </w:rPr>
            <w:fldChar w:fldCharType="end"/>
          </w:r>
        </w:p>
        <w:p>
          <w:pPr>
            <w:pStyle w:val="21"/>
            <w:tabs>
              <w:tab w:val="right" w:leader="dot" w:pos="8296"/>
            </w:tabs>
            <w:rPr>
              <w:color w:val="000000" w:themeColor="text1"/>
              <w:szCs w:val="22"/>
            </w:rPr>
          </w:pPr>
          <w:r>
            <w:fldChar w:fldCharType="begin"/>
          </w:r>
          <w:r>
            <w:instrText xml:space="preserve"> HYPERLINK \l "_Toc150435255" </w:instrText>
          </w:r>
          <w:r>
            <w:fldChar w:fldCharType="separate"/>
          </w:r>
          <w:r>
            <w:rPr>
              <w:rStyle w:val="31"/>
              <w:rFonts w:ascii="方正小标宋简体" w:hAnsi="方正小标宋简体" w:eastAsia="方正小标宋简体" w:cs="方正小标宋简体"/>
              <w:b/>
              <w:color w:val="000000" w:themeColor="text1"/>
              <w:spacing w:val="20"/>
              <w:kern w:val="44"/>
            </w:rPr>
            <w:t>第二篇</w:t>
          </w:r>
          <w:r>
            <w:rPr>
              <w:color w:val="000000" w:themeColor="text1"/>
            </w:rPr>
            <w:tab/>
          </w:r>
          <w:r>
            <w:rPr>
              <w:color w:val="000000" w:themeColor="text1"/>
            </w:rPr>
            <w:fldChar w:fldCharType="begin"/>
          </w:r>
          <w:r>
            <w:rPr>
              <w:color w:val="000000" w:themeColor="text1"/>
            </w:rPr>
            <w:instrText xml:space="preserve"> PAGEREF _Toc150435255 \h </w:instrText>
          </w:r>
          <w:r>
            <w:rPr>
              <w:color w:val="000000" w:themeColor="text1"/>
            </w:rPr>
            <w:fldChar w:fldCharType="separate"/>
          </w:r>
          <w:r>
            <w:rPr>
              <w:color w:val="000000" w:themeColor="text1"/>
            </w:rPr>
            <w:t>127</w:t>
          </w:r>
          <w:r>
            <w:rPr>
              <w:color w:val="000000" w:themeColor="text1"/>
            </w:rPr>
            <w:fldChar w:fldCharType="end"/>
          </w:r>
          <w:r>
            <w:rPr>
              <w:color w:val="000000" w:themeColor="text1"/>
            </w:rPr>
            <w:fldChar w:fldCharType="end"/>
          </w:r>
        </w:p>
        <w:p>
          <w:pPr>
            <w:pStyle w:val="18"/>
            <w:rPr>
              <w:rFonts w:asciiTheme="minorHAnsi" w:eastAsiaTheme="minorEastAsia"/>
              <w:b w:val="0"/>
              <w:color w:val="000000" w:themeColor="text1"/>
              <w:szCs w:val="22"/>
            </w:rPr>
          </w:pPr>
          <w:r>
            <w:fldChar w:fldCharType="begin"/>
          </w:r>
          <w:r>
            <w:instrText xml:space="preserve"> HYPERLINK \l "_Toc150435256" </w:instrText>
          </w:r>
          <w:r>
            <w:fldChar w:fldCharType="separate"/>
          </w:r>
          <w:r>
            <w:rPr>
              <w:rStyle w:val="31"/>
              <w:color w:val="000000" w:themeColor="text1"/>
            </w:rPr>
            <w:t>一、 物业服务企业违法事项——市场监督管理部门处罚案例</w:t>
          </w:r>
          <w:r>
            <w:rPr>
              <w:color w:val="000000" w:themeColor="text1"/>
            </w:rPr>
            <w:tab/>
          </w:r>
          <w:r>
            <w:rPr>
              <w:color w:val="000000" w:themeColor="text1"/>
            </w:rPr>
            <w:fldChar w:fldCharType="begin"/>
          </w:r>
          <w:r>
            <w:rPr>
              <w:color w:val="000000" w:themeColor="text1"/>
            </w:rPr>
            <w:instrText xml:space="preserve"> PAGEREF _Toc150435256 \h </w:instrText>
          </w:r>
          <w:r>
            <w:rPr>
              <w:color w:val="000000" w:themeColor="text1"/>
            </w:rPr>
            <w:fldChar w:fldCharType="separate"/>
          </w:r>
          <w:r>
            <w:rPr>
              <w:color w:val="000000" w:themeColor="text1"/>
            </w:rPr>
            <w:t>129</w:t>
          </w:r>
          <w:r>
            <w:rPr>
              <w:color w:val="000000" w:themeColor="text1"/>
            </w:rPr>
            <w:fldChar w:fldCharType="end"/>
          </w:r>
          <w:r>
            <w:rPr>
              <w:color w:val="000000" w:themeColor="text1"/>
            </w:rPr>
            <w:fldChar w:fldCharType="end"/>
          </w:r>
        </w:p>
        <w:p>
          <w:pPr>
            <w:pStyle w:val="11"/>
            <w:tabs>
              <w:tab w:val="right" w:leader="dot" w:pos="8296"/>
            </w:tabs>
            <w:rPr>
              <w:color w:val="000000" w:themeColor="text1"/>
            </w:rPr>
          </w:pPr>
          <w:r>
            <w:fldChar w:fldCharType="begin"/>
          </w:r>
          <w:r>
            <w:instrText xml:space="preserve"> HYPERLINK \l "_Toc150435257" </w:instrText>
          </w:r>
          <w:r>
            <w:fldChar w:fldCharType="separate"/>
          </w:r>
          <w:r>
            <w:rPr>
              <w:rStyle w:val="31"/>
              <w:color w:val="000000" w:themeColor="text1"/>
            </w:rPr>
            <w:t>案例一：电梯未按照安全技术规范要求维护保养</w:t>
          </w:r>
          <w:r>
            <w:rPr>
              <w:color w:val="000000" w:themeColor="text1"/>
            </w:rPr>
            <w:tab/>
          </w:r>
          <w:r>
            <w:rPr>
              <w:color w:val="000000" w:themeColor="text1"/>
            </w:rPr>
            <w:fldChar w:fldCharType="begin"/>
          </w:r>
          <w:r>
            <w:rPr>
              <w:color w:val="000000" w:themeColor="text1"/>
            </w:rPr>
            <w:instrText xml:space="preserve"> PAGEREF _Toc150435257 \h </w:instrText>
          </w:r>
          <w:r>
            <w:rPr>
              <w:color w:val="000000" w:themeColor="text1"/>
            </w:rPr>
            <w:fldChar w:fldCharType="separate"/>
          </w:r>
          <w:r>
            <w:rPr>
              <w:color w:val="000000" w:themeColor="text1"/>
            </w:rPr>
            <w:t>129</w:t>
          </w:r>
          <w:r>
            <w:rPr>
              <w:color w:val="000000" w:themeColor="text1"/>
            </w:rPr>
            <w:fldChar w:fldCharType="end"/>
          </w:r>
          <w:r>
            <w:rPr>
              <w:color w:val="000000" w:themeColor="text1"/>
            </w:rPr>
            <w:fldChar w:fldCharType="end"/>
          </w:r>
        </w:p>
        <w:p>
          <w:pPr>
            <w:pStyle w:val="11"/>
            <w:tabs>
              <w:tab w:val="right" w:leader="dot" w:pos="8296"/>
            </w:tabs>
            <w:rPr>
              <w:color w:val="000000" w:themeColor="text1"/>
            </w:rPr>
          </w:pPr>
          <w:r>
            <w:fldChar w:fldCharType="begin"/>
          </w:r>
          <w:r>
            <w:instrText xml:space="preserve"> HYPERLINK \l "_Toc150435258" </w:instrText>
          </w:r>
          <w:r>
            <w:fldChar w:fldCharType="separate"/>
          </w:r>
          <w:r>
            <w:rPr>
              <w:rStyle w:val="31"/>
              <w:color w:val="000000" w:themeColor="text1"/>
            </w:rPr>
            <w:t>案例二：使用未经定期检验的电梯</w:t>
          </w:r>
          <w:r>
            <w:rPr>
              <w:color w:val="000000" w:themeColor="text1"/>
            </w:rPr>
            <w:tab/>
          </w:r>
          <w:r>
            <w:rPr>
              <w:color w:val="000000" w:themeColor="text1"/>
            </w:rPr>
            <w:fldChar w:fldCharType="begin"/>
          </w:r>
          <w:r>
            <w:rPr>
              <w:color w:val="000000" w:themeColor="text1"/>
            </w:rPr>
            <w:instrText xml:space="preserve"> PAGEREF _Toc150435258 \h </w:instrText>
          </w:r>
          <w:r>
            <w:rPr>
              <w:color w:val="000000" w:themeColor="text1"/>
            </w:rPr>
            <w:fldChar w:fldCharType="separate"/>
          </w:r>
          <w:r>
            <w:rPr>
              <w:color w:val="000000" w:themeColor="text1"/>
            </w:rPr>
            <w:t>129</w:t>
          </w:r>
          <w:r>
            <w:rPr>
              <w:color w:val="000000" w:themeColor="text1"/>
            </w:rPr>
            <w:fldChar w:fldCharType="end"/>
          </w:r>
          <w:r>
            <w:rPr>
              <w:color w:val="000000" w:themeColor="text1"/>
            </w:rPr>
            <w:fldChar w:fldCharType="end"/>
          </w:r>
        </w:p>
        <w:p>
          <w:pPr>
            <w:pStyle w:val="11"/>
            <w:tabs>
              <w:tab w:val="right" w:leader="dot" w:pos="8296"/>
            </w:tabs>
            <w:rPr>
              <w:color w:val="000000" w:themeColor="text1"/>
            </w:rPr>
          </w:pPr>
          <w:r>
            <w:fldChar w:fldCharType="begin"/>
          </w:r>
          <w:r>
            <w:instrText xml:space="preserve"> HYPERLINK \l "_Toc150435259" </w:instrText>
          </w:r>
          <w:r>
            <w:fldChar w:fldCharType="separate"/>
          </w:r>
          <w:r>
            <w:rPr>
              <w:rStyle w:val="31"/>
              <w:color w:val="000000" w:themeColor="text1"/>
            </w:rPr>
            <w:t>案例三：责任单位电梯监管措施不力致事故</w:t>
          </w:r>
          <w:r>
            <w:rPr>
              <w:color w:val="000000" w:themeColor="text1"/>
            </w:rPr>
            <w:tab/>
          </w:r>
          <w:r>
            <w:rPr>
              <w:color w:val="000000" w:themeColor="text1"/>
            </w:rPr>
            <w:fldChar w:fldCharType="begin"/>
          </w:r>
          <w:r>
            <w:rPr>
              <w:color w:val="000000" w:themeColor="text1"/>
            </w:rPr>
            <w:instrText xml:space="preserve"> PAGEREF _Toc150435259 \h </w:instrText>
          </w:r>
          <w:r>
            <w:rPr>
              <w:color w:val="000000" w:themeColor="text1"/>
            </w:rPr>
            <w:fldChar w:fldCharType="separate"/>
          </w:r>
          <w:r>
            <w:rPr>
              <w:color w:val="000000" w:themeColor="text1"/>
            </w:rPr>
            <w:t>130</w:t>
          </w:r>
          <w:r>
            <w:rPr>
              <w:color w:val="000000" w:themeColor="text1"/>
            </w:rPr>
            <w:fldChar w:fldCharType="end"/>
          </w:r>
          <w:r>
            <w:rPr>
              <w:color w:val="000000" w:themeColor="text1"/>
            </w:rPr>
            <w:fldChar w:fldCharType="end"/>
          </w:r>
        </w:p>
        <w:p>
          <w:pPr>
            <w:pStyle w:val="18"/>
            <w:rPr>
              <w:rFonts w:asciiTheme="minorHAnsi" w:eastAsiaTheme="minorEastAsia"/>
              <w:b w:val="0"/>
              <w:color w:val="000000" w:themeColor="text1"/>
              <w:szCs w:val="22"/>
            </w:rPr>
          </w:pPr>
          <w:r>
            <w:fldChar w:fldCharType="begin"/>
          </w:r>
          <w:r>
            <w:instrText xml:space="preserve"> HYPERLINK \l "_Toc150435260" </w:instrText>
          </w:r>
          <w:r>
            <w:fldChar w:fldCharType="separate"/>
          </w:r>
          <w:r>
            <w:rPr>
              <w:rStyle w:val="31"/>
              <w:color w:val="000000" w:themeColor="text1"/>
            </w:rPr>
            <w:t>二、 物业服务企业违法事项——公安机关处罚、人民法院判决案例</w:t>
          </w:r>
          <w:r>
            <w:rPr>
              <w:color w:val="000000" w:themeColor="text1"/>
            </w:rPr>
            <w:tab/>
          </w:r>
          <w:r>
            <w:rPr>
              <w:color w:val="000000" w:themeColor="text1"/>
            </w:rPr>
            <w:fldChar w:fldCharType="begin"/>
          </w:r>
          <w:r>
            <w:rPr>
              <w:color w:val="000000" w:themeColor="text1"/>
            </w:rPr>
            <w:instrText xml:space="preserve"> PAGEREF _Toc150435260 \h </w:instrText>
          </w:r>
          <w:r>
            <w:rPr>
              <w:color w:val="000000" w:themeColor="text1"/>
            </w:rPr>
            <w:fldChar w:fldCharType="separate"/>
          </w:r>
          <w:r>
            <w:rPr>
              <w:color w:val="000000" w:themeColor="text1"/>
            </w:rPr>
            <w:t>131</w:t>
          </w:r>
          <w:r>
            <w:rPr>
              <w:color w:val="000000" w:themeColor="text1"/>
            </w:rPr>
            <w:fldChar w:fldCharType="end"/>
          </w:r>
          <w:r>
            <w:rPr>
              <w:color w:val="000000" w:themeColor="text1"/>
            </w:rPr>
            <w:fldChar w:fldCharType="end"/>
          </w:r>
        </w:p>
        <w:p>
          <w:pPr>
            <w:pStyle w:val="11"/>
            <w:tabs>
              <w:tab w:val="right" w:leader="dot" w:pos="8296"/>
            </w:tabs>
            <w:rPr>
              <w:color w:val="000000" w:themeColor="text1"/>
            </w:rPr>
          </w:pPr>
          <w:r>
            <w:fldChar w:fldCharType="begin"/>
          </w:r>
          <w:r>
            <w:instrText xml:space="preserve"> HYPERLINK \l "_Toc150435261" </w:instrText>
          </w:r>
          <w:r>
            <w:fldChar w:fldCharType="separate"/>
          </w:r>
          <w:r>
            <w:rPr>
              <w:rStyle w:val="31"/>
              <w:color w:val="000000" w:themeColor="text1"/>
            </w:rPr>
            <w:t>案例一：携犬出户时未对犬束犬链</w:t>
          </w:r>
          <w:r>
            <w:rPr>
              <w:color w:val="000000" w:themeColor="text1"/>
            </w:rPr>
            <w:tab/>
          </w:r>
          <w:r>
            <w:rPr>
              <w:color w:val="000000" w:themeColor="text1"/>
            </w:rPr>
            <w:fldChar w:fldCharType="begin"/>
          </w:r>
          <w:r>
            <w:rPr>
              <w:color w:val="000000" w:themeColor="text1"/>
            </w:rPr>
            <w:instrText xml:space="preserve"> PAGEREF _Toc150435261 \h </w:instrText>
          </w:r>
          <w:r>
            <w:rPr>
              <w:color w:val="000000" w:themeColor="text1"/>
            </w:rPr>
            <w:fldChar w:fldCharType="separate"/>
          </w:r>
          <w:r>
            <w:rPr>
              <w:color w:val="000000" w:themeColor="text1"/>
            </w:rPr>
            <w:t>131</w:t>
          </w:r>
          <w:r>
            <w:rPr>
              <w:color w:val="000000" w:themeColor="text1"/>
            </w:rPr>
            <w:fldChar w:fldCharType="end"/>
          </w:r>
          <w:r>
            <w:rPr>
              <w:color w:val="000000" w:themeColor="text1"/>
            </w:rPr>
            <w:fldChar w:fldCharType="end"/>
          </w:r>
        </w:p>
        <w:p>
          <w:pPr>
            <w:pStyle w:val="11"/>
            <w:tabs>
              <w:tab w:val="right" w:leader="dot" w:pos="8296"/>
            </w:tabs>
            <w:rPr>
              <w:color w:val="000000" w:themeColor="text1"/>
            </w:rPr>
          </w:pPr>
          <w:r>
            <w:fldChar w:fldCharType="begin"/>
          </w:r>
          <w:r>
            <w:instrText xml:space="preserve"> HYPERLINK \l "_Toc150435262" </w:instrText>
          </w:r>
          <w:r>
            <w:fldChar w:fldCharType="separate"/>
          </w:r>
          <w:r>
            <w:rPr>
              <w:rStyle w:val="31"/>
              <w:color w:val="000000" w:themeColor="text1"/>
            </w:rPr>
            <w:t>案例二：养犬地址与权证地址不符</w:t>
          </w:r>
          <w:r>
            <w:rPr>
              <w:color w:val="000000" w:themeColor="text1"/>
            </w:rPr>
            <w:tab/>
          </w:r>
          <w:r>
            <w:rPr>
              <w:color w:val="000000" w:themeColor="text1"/>
            </w:rPr>
            <w:fldChar w:fldCharType="begin"/>
          </w:r>
          <w:r>
            <w:rPr>
              <w:color w:val="000000" w:themeColor="text1"/>
            </w:rPr>
            <w:instrText xml:space="preserve"> PAGEREF _Toc150435262 \h </w:instrText>
          </w:r>
          <w:r>
            <w:rPr>
              <w:color w:val="000000" w:themeColor="text1"/>
            </w:rPr>
            <w:fldChar w:fldCharType="separate"/>
          </w:r>
          <w:r>
            <w:rPr>
              <w:color w:val="000000" w:themeColor="text1"/>
            </w:rPr>
            <w:t>131</w:t>
          </w:r>
          <w:r>
            <w:rPr>
              <w:color w:val="000000" w:themeColor="text1"/>
            </w:rPr>
            <w:fldChar w:fldCharType="end"/>
          </w:r>
          <w:r>
            <w:rPr>
              <w:color w:val="000000" w:themeColor="text1"/>
            </w:rPr>
            <w:fldChar w:fldCharType="end"/>
          </w:r>
        </w:p>
        <w:p>
          <w:pPr>
            <w:pStyle w:val="11"/>
            <w:tabs>
              <w:tab w:val="right" w:leader="dot" w:pos="8296"/>
            </w:tabs>
            <w:rPr>
              <w:color w:val="000000" w:themeColor="text1"/>
            </w:rPr>
          </w:pPr>
          <w:r>
            <w:fldChar w:fldCharType="begin"/>
          </w:r>
          <w:r>
            <w:instrText xml:space="preserve"> HYPERLINK \l "_Toc150435263" </w:instrText>
          </w:r>
          <w:r>
            <w:fldChar w:fldCharType="separate"/>
          </w:r>
          <w:r>
            <w:rPr>
              <w:rStyle w:val="31"/>
              <w:color w:val="000000" w:themeColor="text1"/>
            </w:rPr>
            <w:t>案例三：物业工作利用职务之便售卖业主信息</w:t>
          </w:r>
          <w:r>
            <w:rPr>
              <w:color w:val="000000" w:themeColor="text1"/>
            </w:rPr>
            <w:tab/>
          </w:r>
          <w:r>
            <w:rPr>
              <w:color w:val="000000" w:themeColor="text1"/>
            </w:rPr>
            <w:fldChar w:fldCharType="begin"/>
          </w:r>
          <w:r>
            <w:rPr>
              <w:color w:val="000000" w:themeColor="text1"/>
            </w:rPr>
            <w:instrText xml:space="preserve"> PAGEREF _Toc150435263 \h </w:instrText>
          </w:r>
          <w:r>
            <w:rPr>
              <w:color w:val="000000" w:themeColor="text1"/>
            </w:rPr>
            <w:fldChar w:fldCharType="separate"/>
          </w:r>
          <w:r>
            <w:rPr>
              <w:color w:val="000000" w:themeColor="text1"/>
            </w:rPr>
            <w:t>132</w:t>
          </w:r>
          <w:r>
            <w:rPr>
              <w:color w:val="000000" w:themeColor="text1"/>
            </w:rPr>
            <w:fldChar w:fldCharType="end"/>
          </w:r>
          <w:r>
            <w:rPr>
              <w:color w:val="000000" w:themeColor="text1"/>
            </w:rPr>
            <w:fldChar w:fldCharType="end"/>
          </w:r>
        </w:p>
        <w:p>
          <w:pPr>
            <w:pStyle w:val="11"/>
            <w:tabs>
              <w:tab w:val="right" w:leader="dot" w:pos="8296"/>
            </w:tabs>
            <w:rPr>
              <w:color w:val="000000" w:themeColor="text1"/>
            </w:rPr>
          </w:pPr>
          <w:r>
            <w:fldChar w:fldCharType="begin"/>
          </w:r>
          <w:r>
            <w:instrText xml:space="preserve"> HYPERLINK \l "_Toc150435264" </w:instrText>
          </w:r>
          <w:r>
            <w:fldChar w:fldCharType="separate"/>
          </w:r>
          <w:r>
            <w:rPr>
              <w:rStyle w:val="31"/>
              <w:color w:val="000000" w:themeColor="text1"/>
            </w:rPr>
            <w:t>案例四：物业经理利用职务之便售卖业主信息</w:t>
          </w:r>
          <w:r>
            <w:rPr>
              <w:color w:val="000000" w:themeColor="text1"/>
            </w:rPr>
            <w:tab/>
          </w:r>
          <w:r>
            <w:rPr>
              <w:color w:val="000000" w:themeColor="text1"/>
            </w:rPr>
            <w:fldChar w:fldCharType="begin"/>
          </w:r>
          <w:r>
            <w:rPr>
              <w:color w:val="000000" w:themeColor="text1"/>
            </w:rPr>
            <w:instrText xml:space="preserve"> PAGEREF _Toc150435264 \h </w:instrText>
          </w:r>
          <w:r>
            <w:rPr>
              <w:color w:val="000000" w:themeColor="text1"/>
            </w:rPr>
            <w:fldChar w:fldCharType="separate"/>
          </w:r>
          <w:r>
            <w:rPr>
              <w:color w:val="000000" w:themeColor="text1"/>
            </w:rPr>
            <w:t>132</w:t>
          </w:r>
          <w:r>
            <w:rPr>
              <w:color w:val="000000" w:themeColor="text1"/>
            </w:rPr>
            <w:fldChar w:fldCharType="end"/>
          </w:r>
          <w:r>
            <w:rPr>
              <w:color w:val="000000" w:themeColor="text1"/>
            </w:rPr>
            <w:fldChar w:fldCharType="end"/>
          </w:r>
        </w:p>
        <w:p>
          <w:pPr>
            <w:pStyle w:val="18"/>
            <w:rPr>
              <w:rFonts w:asciiTheme="minorHAnsi" w:eastAsiaTheme="minorEastAsia"/>
              <w:b w:val="0"/>
              <w:color w:val="000000" w:themeColor="text1"/>
              <w:szCs w:val="22"/>
            </w:rPr>
          </w:pPr>
          <w:r>
            <w:fldChar w:fldCharType="begin"/>
          </w:r>
          <w:r>
            <w:instrText xml:space="preserve"> HYPERLINK \l "_Toc150435265" </w:instrText>
          </w:r>
          <w:r>
            <w:fldChar w:fldCharType="separate"/>
          </w:r>
          <w:r>
            <w:rPr>
              <w:rStyle w:val="31"/>
              <w:color w:val="000000" w:themeColor="text1"/>
            </w:rPr>
            <w:t>三、 物业服务企业违法事项——水务部门处罚案例</w:t>
          </w:r>
          <w:r>
            <w:rPr>
              <w:color w:val="000000" w:themeColor="text1"/>
            </w:rPr>
            <w:tab/>
          </w:r>
          <w:r>
            <w:rPr>
              <w:color w:val="000000" w:themeColor="text1"/>
            </w:rPr>
            <w:fldChar w:fldCharType="begin"/>
          </w:r>
          <w:r>
            <w:rPr>
              <w:color w:val="000000" w:themeColor="text1"/>
            </w:rPr>
            <w:instrText xml:space="preserve"> PAGEREF _Toc150435265 \h </w:instrText>
          </w:r>
          <w:r>
            <w:rPr>
              <w:color w:val="000000" w:themeColor="text1"/>
            </w:rPr>
            <w:fldChar w:fldCharType="separate"/>
          </w:r>
          <w:r>
            <w:rPr>
              <w:color w:val="000000" w:themeColor="text1"/>
            </w:rPr>
            <w:t>133</w:t>
          </w:r>
          <w:r>
            <w:rPr>
              <w:color w:val="000000" w:themeColor="text1"/>
            </w:rPr>
            <w:fldChar w:fldCharType="end"/>
          </w:r>
          <w:r>
            <w:rPr>
              <w:color w:val="000000" w:themeColor="text1"/>
            </w:rPr>
            <w:fldChar w:fldCharType="end"/>
          </w:r>
        </w:p>
        <w:p>
          <w:pPr>
            <w:pStyle w:val="11"/>
            <w:tabs>
              <w:tab w:val="right" w:leader="dot" w:pos="8296"/>
            </w:tabs>
            <w:rPr>
              <w:color w:val="000000" w:themeColor="text1"/>
            </w:rPr>
          </w:pPr>
          <w:r>
            <w:fldChar w:fldCharType="begin"/>
          </w:r>
          <w:r>
            <w:instrText xml:space="preserve"> HYPERLINK \l "_Toc150435266" </w:instrText>
          </w:r>
          <w:r>
            <w:fldChar w:fldCharType="separate"/>
          </w:r>
          <w:r>
            <w:rPr>
              <w:rStyle w:val="31"/>
              <w:color w:val="000000" w:themeColor="text1"/>
            </w:rPr>
            <w:t>案例一：二次供水设备间未上锁</w:t>
          </w:r>
          <w:r>
            <w:rPr>
              <w:color w:val="000000" w:themeColor="text1"/>
            </w:rPr>
            <w:tab/>
          </w:r>
          <w:r>
            <w:rPr>
              <w:color w:val="000000" w:themeColor="text1"/>
            </w:rPr>
            <w:fldChar w:fldCharType="begin"/>
          </w:r>
          <w:r>
            <w:rPr>
              <w:color w:val="000000" w:themeColor="text1"/>
            </w:rPr>
            <w:instrText xml:space="preserve"> PAGEREF _Toc150435266 \h </w:instrText>
          </w:r>
          <w:r>
            <w:rPr>
              <w:color w:val="000000" w:themeColor="text1"/>
            </w:rPr>
            <w:fldChar w:fldCharType="separate"/>
          </w:r>
          <w:r>
            <w:rPr>
              <w:color w:val="000000" w:themeColor="text1"/>
            </w:rPr>
            <w:t>133</w:t>
          </w:r>
          <w:r>
            <w:rPr>
              <w:color w:val="000000" w:themeColor="text1"/>
            </w:rPr>
            <w:fldChar w:fldCharType="end"/>
          </w:r>
          <w:r>
            <w:rPr>
              <w:color w:val="000000" w:themeColor="text1"/>
            </w:rPr>
            <w:fldChar w:fldCharType="end"/>
          </w:r>
        </w:p>
        <w:p>
          <w:pPr>
            <w:pStyle w:val="11"/>
            <w:tabs>
              <w:tab w:val="right" w:leader="dot" w:pos="8296"/>
            </w:tabs>
            <w:rPr>
              <w:color w:val="000000" w:themeColor="text1"/>
            </w:rPr>
          </w:pPr>
          <w:r>
            <w:fldChar w:fldCharType="begin"/>
          </w:r>
          <w:r>
            <w:instrText xml:space="preserve"> HYPERLINK \l "_Toc150435267" </w:instrText>
          </w:r>
          <w:r>
            <w:fldChar w:fldCharType="separate"/>
          </w:r>
          <w:r>
            <w:rPr>
              <w:rStyle w:val="31"/>
              <w:color w:val="000000" w:themeColor="text1"/>
            </w:rPr>
            <w:t>案例二：未取得生活饮用水卫生许可证供水</w:t>
          </w:r>
          <w:r>
            <w:rPr>
              <w:color w:val="000000" w:themeColor="text1"/>
            </w:rPr>
            <w:tab/>
          </w:r>
          <w:r>
            <w:rPr>
              <w:color w:val="000000" w:themeColor="text1"/>
            </w:rPr>
            <w:fldChar w:fldCharType="begin"/>
          </w:r>
          <w:r>
            <w:rPr>
              <w:color w:val="000000" w:themeColor="text1"/>
            </w:rPr>
            <w:instrText xml:space="preserve"> PAGEREF _Toc150435267 \h </w:instrText>
          </w:r>
          <w:r>
            <w:rPr>
              <w:color w:val="000000" w:themeColor="text1"/>
            </w:rPr>
            <w:fldChar w:fldCharType="separate"/>
          </w:r>
          <w:r>
            <w:rPr>
              <w:color w:val="000000" w:themeColor="text1"/>
            </w:rPr>
            <w:t>133</w:t>
          </w:r>
          <w:r>
            <w:rPr>
              <w:color w:val="000000" w:themeColor="text1"/>
            </w:rPr>
            <w:fldChar w:fldCharType="end"/>
          </w:r>
          <w:r>
            <w:rPr>
              <w:color w:val="000000" w:themeColor="text1"/>
            </w:rPr>
            <w:fldChar w:fldCharType="end"/>
          </w:r>
        </w:p>
        <w:p>
          <w:pPr>
            <w:pStyle w:val="18"/>
            <w:rPr>
              <w:rFonts w:asciiTheme="minorHAnsi" w:eastAsiaTheme="minorEastAsia"/>
              <w:b w:val="0"/>
              <w:color w:val="000000" w:themeColor="text1"/>
              <w:szCs w:val="22"/>
            </w:rPr>
          </w:pPr>
          <w:r>
            <w:fldChar w:fldCharType="begin"/>
          </w:r>
          <w:r>
            <w:instrText xml:space="preserve"> HYPERLINK \l "_Toc150435268" </w:instrText>
          </w:r>
          <w:r>
            <w:fldChar w:fldCharType="separate"/>
          </w:r>
          <w:r>
            <w:rPr>
              <w:rStyle w:val="31"/>
              <w:color w:val="000000" w:themeColor="text1"/>
            </w:rPr>
            <w:t>四、 物业服务企业违法事项——消防救援处罚案例</w:t>
          </w:r>
          <w:r>
            <w:rPr>
              <w:color w:val="000000" w:themeColor="text1"/>
            </w:rPr>
            <w:tab/>
          </w:r>
          <w:r>
            <w:rPr>
              <w:color w:val="000000" w:themeColor="text1"/>
            </w:rPr>
            <w:fldChar w:fldCharType="begin"/>
          </w:r>
          <w:r>
            <w:rPr>
              <w:color w:val="000000" w:themeColor="text1"/>
            </w:rPr>
            <w:instrText xml:space="preserve"> PAGEREF _Toc150435268 \h </w:instrText>
          </w:r>
          <w:r>
            <w:rPr>
              <w:color w:val="000000" w:themeColor="text1"/>
            </w:rPr>
            <w:fldChar w:fldCharType="separate"/>
          </w:r>
          <w:r>
            <w:rPr>
              <w:color w:val="000000" w:themeColor="text1"/>
            </w:rPr>
            <w:t>135</w:t>
          </w:r>
          <w:r>
            <w:rPr>
              <w:color w:val="000000" w:themeColor="text1"/>
            </w:rPr>
            <w:fldChar w:fldCharType="end"/>
          </w:r>
          <w:r>
            <w:rPr>
              <w:color w:val="000000" w:themeColor="text1"/>
            </w:rPr>
            <w:fldChar w:fldCharType="end"/>
          </w:r>
        </w:p>
        <w:p>
          <w:pPr>
            <w:pStyle w:val="11"/>
            <w:tabs>
              <w:tab w:val="right" w:leader="dot" w:pos="8296"/>
            </w:tabs>
            <w:rPr>
              <w:color w:val="000000" w:themeColor="text1"/>
            </w:rPr>
          </w:pPr>
          <w:r>
            <w:fldChar w:fldCharType="begin"/>
          </w:r>
          <w:r>
            <w:instrText xml:space="preserve"> HYPERLINK \l "_Toc150435269" </w:instrText>
          </w:r>
          <w:r>
            <w:fldChar w:fldCharType="separate"/>
          </w:r>
          <w:r>
            <w:rPr>
              <w:rStyle w:val="31"/>
              <w:color w:val="000000" w:themeColor="text1"/>
            </w:rPr>
            <w:t>案例一：消防设施缺失、占用消防车道</w:t>
          </w:r>
          <w:r>
            <w:rPr>
              <w:color w:val="000000" w:themeColor="text1"/>
            </w:rPr>
            <w:tab/>
          </w:r>
          <w:r>
            <w:rPr>
              <w:color w:val="000000" w:themeColor="text1"/>
            </w:rPr>
            <w:fldChar w:fldCharType="begin"/>
          </w:r>
          <w:r>
            <w:rPr>
              <w:color w:val="000000" w:themeColor="text1"/>
            </w:rPr>
            <w:instrText xml:space="preserve"> PAGEREF _Toc150435269 \h </w:instrText>
          </w:r>
          <w:r>
            <w:rPr>
              <w:color w:val="000000" w:themeColor="text1"/>
            </w:rPr>
            <w:fldChar w:fldCharType="separate"/>
          </w:r>
          <w:r>
            <w:rPr>
              <w:color w:val="000000" w:themeColor="text1"/>
            </w:rPr>
            <w:t>135</w:t>
          </w:r>
          <w:r>
            <w:rPr>
              <w:color w:val="000000" w:themeColor="text1"/>
            </w:rPr>
            <w:fldChar w:fldCharType="end"/>
          </w:r>
          <w:r>
            <w:rPr>
              <w:color w:val="000000" w:themeColor="text1"/>
            </w:rPr>
            <w:fldChar w:fldCharType="end"/>
          </w:r>
        </w:p>
        <w:p>
          <w:pPr>
            <w:pStyle w:val="11"/>
            <w:tabs>
              <w:tab w:val="right" w:leader="dot" w:pos="8296"/>
            </w:tabs>
            <w:rPr>
              <w:color w:val="000000" w:themeColor="text1"/>
            </w:rPr>
          </w:pPr>
          <w:r>
            <w:fldChar w:fldCharType="begin"/>
          </w:r>
          <w:r>
            <w:instrText xml:space="preserve"> HYPERLINK \l "_Toc150435270" </w:instrText>
          </w:r>
          <w:r>
            <w:fldChar w:fldCharType="separate"/>
          </w:r>
          <w:r>
            <w:rPr>
              <w:rStyle w:val="31"/>
              <w:color w:val="000000" w:themeColor="text1"/>
            </w:rPr>
            <w:t>案例二：未落实消防安全管理措施</w:t>
          </w:r>
          <w:r>
            <w:rPr>
              <w:color w:val="000000" w:themeColor="text1"/>
            </w:rPr>
            <w:tab/>
          </w:r>
          <w:r>
            <w:rPr>
              <w:color w:val="000000" w:themeColor="text1"/>
            </w:rPr>
            <w:fldChar w:fldCharType="begin"/>
          </w:r>
          <w:r>
            <w:rPr>
              <w:color w:val="000000" w:themeColor="text1"/>
            </w:rPr>
            <w:instrText xml:space="preserve"> PAGEREF _Toc150435270 \h </w:instrText>
          </w:r>
          <w:r>
            <w:rPr>
              <w:color w:val="000000" w:themeColor="text1"/>
            </w:rPr>
            <w:fldChar w:fldCharType="separate"/>
          </w:r>
          <w:r>
            <w:rPr>
              <w:color w:val="000000" w:themeColor="text1"/>
            </w:rPr>
            <w:t>135</w:t>
          </w:r>
          <w:r>
            <w:rPr>
              <w:color w:val="000000" w:themeColor="text1"/>
            </w:rPr>
            <w:fldChar w:fldCharType="end"/>
          </w:r>
          <w:r>
            <w:rPr>
              <w:color w:val="000000" w:themeColor="text1"/>
            </w:rPr>
            <w:fldChar w:fldCharType="end"/>
          </w:r>
        </w:p>
        <w:p>
          <w:pPr>
            <w:pStyle w:val="11"/>
            <w:tabs>
              <w:tab w:val="right" w:leader="dot" w:pos="8296"/>
            </w:tabs>
            <w:rPr>
              <w:color w:val="000000" w:themeColor="text1"/>
            </w:rPr>
          </w:pPr>
          <w:r>
            <w:fldChar w:fldCharType="begin"/>
          </w:r>
          <w:r>
            <w:instrText xml:space="preserve"> HYPERLINK \l "_Toc150435271" </w:instrText>
          </w:r>
          <w:r>
            <w:fldChar w:fldCharType="separate"/>
          </w:r>
          <w:r>
            <w:rPr>
              <w:rStyle w:val="31"/>
              <w:color w:val="000000" w:themeColor="text1"/>
            </w:rPr>
            <w:t>案例三：未及时发现并消除火灾隐患</w:t>
          </w:r>
          <w:r>
            <w:rPr>
              <w:color w:val="000000" w:themeColor="text1"/>
            </w:rPr>
            <w:tab/>
          </w:r>
          <w:r>
            <w:rPr>
              <w:color w:val="000000" w:themeColor="text1"/>
            </w:rPr>
            <w:fldChar w:fldCharType="begin"/>
          </w:r>
          <w:r>
            <w:rPr>
              <w:color w:val="000000" w:themeColor="text1"/>
            </w:rPr>
            <w:instrText xml:space="preserve"> PAGEREF _Toc150435271 \h </w:instrText>
          </w:r>
          <w:r>
            <w:rPr>
              <w:color w:val="000000" w:themeColor="text1"/>
            </w:rPr>
            <w:fldChar w:fldCharType="separate"/>
          </w:r>
          <w:r>
            <w:rPr>
              <w:color w:val="000000" w:themeColor="text1"/>
            </w:rPr>
            <w:t>136</w:t>
          </w:r>
          <w:r>
            <w:rPr>
              <w:color w:val="000000" w:themeColor="text1"/>
            </w:rPr>
            <w:fldChar w:fldCharType="end"/>
          </w:r>
          <w:r>
            <w:rPr>
              <w:color w:val="000000" w:themeColor="text1"/>
            </w:rPr>
            <w:fldChar w:fldCharType="end"/>
          </w:r>
        </w:p>
        <w:p>
          <w:pPr>
            <w:pStyle w:val="11"/>
            <w:tabs>
              <w:tab w:val="right" w:leader="dot" w:pos="8296"/>
            </w:tabs>
            <w:rPr>
              <w:color w:val="000000" w:themeColor="text1"/>
            </w:rPr>
          </w:pPr>
          <w:r>
            <w:fldChar w:fldCharType="begin"/>
          </w:r>
          <w:r>
            <w:instrText xml:space="preserve"> HYPERLINK \l "_Toc150435272" </w:instrText>
          </w:r>
          <w:r>
            <w:fldChar w:fldCharType="separate"/>
          </w:r>
          <w:r>
            <w:rPr>
              <w:rStyle w:val="31"/>
              <w:color w:val="000000" w:themeColor="text1"/>
            </w:rPr>
            <w:t>案例四：擅自从消防设施取水</w:t>
          </w:r>
          <w:r>
            <w:rPr>
              <w:color w:val="000000" w:themeColor="text1"/>
            </w:rPr>
            <w:tab/>
          </w:r>
          <w:r>
            <w:rPr>
              <w:color w:val="000000" w:themeColor="text1"/>
            </w:rPr>
            <w:fldChar w:fldCharType="begin"/>
          </w:r>
          <w:r>
            <w:rPr>
              <w:color w:val="000000" w:themeColor="text1"/>
            </w:rPr>
            <w:instrText xml:space="preserve"> PAGEREF _Toc150435272 \h </w:instrText>
          </w:r>
          <w:r>
            <w:rPr>
              <w:color w:val="000000" w:themeColor="text1"/>
            </w:rPr>
            <w:fldChar w:fldCharType="separate"/>
          </w:r>
          <w:r>
            <w:rPr>
              <w:color w:val="000000" w:themeColor="text1"/>
            </w:rPr>
            <w:t>136</w:t>
          </w:r>
          <w:r>
            <w:rPr>
              <w:color w:val="000000" w:themeColor="text1"/>
            </w:rPr>
            <w:fldChar w:fldCharType="end"/>
          </w:r>
          <w:r>
            <w:rPr>
              <w:color w:val="000000" w:themeColor="text1"/>
            </w:rPr>
            <w:fldChar w:fldCharType="end"/>
          </w:r>
        </w:p>
        <w:p>
          <w:pPr>
            <w:pStyle w:val="18"/>
            <w:rPr>
              <w:rFonts w:asciiTheme="minorHAnsi" w:eastAsiaTheme="minorEastAsia"/>
              <w:b w:val="0"/>
              <w:color w:val="000000" w:themeColor="text1"/>
              <w:szCs w:val="22"/>
            </w:rPr>
          </w:pPr>
          <w:r>
            <w:fldChar w:fldCharType="begin"/>
          </w:r>
          <w:r>
            <w:instrText xml:space="preserve"> HYPERLINK \l "_Toc150435273" </w:instrText>
          </w:r>
          <w:r>
            <w:fldChar w:fldCharType="separate"/>
          </w:r>
          <w:r>
            <w:rPr>
              <w:rStyle w:val="31"/>
              <w:color w:val="000000" w:themeColor="text1"/>
            </w:rPr>
            <w:t>五、 物业服务企业违法事项——城市管理执法部门处罚案例</w:t>
          </w:r>
          <w:r>
            <w:rPr>
              <w:color w:val="000000" w:themeColor="text1"/>
            </w:rPr>
            <w:tab/>
          </w:r>
          <w:r>
            <w:rPr>
              <w:color w:val="000000" w:themeColor="text1"/>
            </w:rPr>
            <w:fldChar w:fldCharType="begin"/>
          </w:r>
          <w:r>
            <w:rPr>
              <w:color w:val="000000" w:themeColor="text1"/>
            </w:rPr>
            <w:instrText xml:space="preserve"> PAGEREF _Toc150435273 \h </w:instrText>
          </w:r>
          <w:r>
            <w:rPr>
              <w:color w:val="000000" w:themeColor="text1"/>
            </w:rPr>
            <w:fldChar w:fldCharType="separate"/>
          </w:r>
          <w:r>
            <w:rPr>
              <w:color w:val="000000" w:themeColor="text1"/>
            </w:rPr>
            <w:t>138</w:t>
          </w:r>
          <w:r>
            <w:rPr>
              <w:color w:val="000000" w:themeColor="text1"/>
            </w:rPr>
            <w:fldChar w:fldCharType="end"/>
          </w:r>
          <w:r>
            <w:rPr>
              <w:color w:val="000000" w:themeColor="text1"/>
            </w:rPr>
            <w:fldChar w:fldCharType="end"/>
          </w:r>
        </w:p>
        <w:p>
          <w:pPr>
            <w:pStyle w:val="11"/>
            <w:tabs>
              <w:tab w:val="right" w:leader="dot" w:pos="8296"/>
            </w:tabs>
            <w:rPr>
              <w:color w:val="000000" w:themeColor="text1"/>
            </w:rPr>
          </w:pPr>
          <w:r>
            <w:fldChar w:fldCharType="begin"/>
          </w:r>
          <w:r>
            <w:instrText xml:space="preserve"> HYPERLINK \l "_Toc150435274" </w:instrText>
          </w:r>
          <w:r>
            <w:fldChar w:fldCharType="separate"/>
          </w:r>
          <w:r>
            <w:rPr>
              <w:rStyle w:val="31"/>
              <w:color w:val="000000" w:themeColor="text1"/>
            </w:rPr>
            <w:t>案例一：物业公司厨余垃圾和其他垃圾混合收集</w:t>
          </w:r>
          <w:r>
            <w:rPr>
              <w:color w:val="000000" w:themeColor="text1"/>
            </w:rPr>
            <w:tab/>
          </w:r>
          <w:r>
            <w:rPr>
              <w:color w:val="000000" w:themeColor="text1"/>
            </w:rPr>
            <w:fldChar w:fldCharType="begin"/>
          </w:r>
          <w:r>
            <w:rPr>
              <w:color w:val="000000" w:themeColor="text1"/>
            </w:rPr>
            <w:instrText xml:space="preserve"> PAGEREF _Toc150435274 \h </w:instrText>
          </w:r>
          <w:r>
            <w:rPr>
              <w:color w:val="000000" w:themeColor="text1"/>
            </w:rPr>
            <w:fldChar w:fldCharType="separate"/>
          </w:r>
          <w:r>
            <w:rPr>
              <w:color w:val="000000" w:themeColor="text1"/>
            </w:rPr>
            <w:t>138</w:t>
          </w:r>
          <w:r>
            <w:rPr>
              <w:color w:val="000000" w:themeColor="text1"/>
            </w:rPr>
            <w:fldChar w:fldCharType="end"/>
          </w:r>
          <w:r>
            <w:rPr>
              <w:color w:val="000000" w:themeColor="text1"/>
            </w:rPr>
            <w:fldChar w:fldCharType="end"/>
          </w:r>
        </w:p>
        <w:p>
          <w:pPr>
            <w:pStyle w:val="11"/>
            <w:tabs>
              <w:tab w:val="right" w:leader="dot" w:pos="8296"/>
            </w:tabs>
            <w:rPr>
              <w:color w:val="000000" w:themeColor="text1"/>
            </w:rPr>
          </w:pPr>
          <w:r>
            <w:fldChar w:fldCharType="begin"/>
          </w:r>
          <w:r>
            <w:instrText xml:space="preserve"> HYPERLINK \l "_Toc150435275" </w:instrText>
          </w:r>
          <w:r>
            <w:fldChar w:fldCharType="separate"/>
          </w:r>
          <w:r>
            <w:rPr>
              <w:rStyle w:val="31"/>
              <w:color w:val="000000" w:themeColor="text1"/>
            </w:rPr>
            <w:t>案例二：物业公司管理小区未进行垃圾分类</w:t>
          </w:r>
          <w:r>
            <w:rPr>
              <w:color w:val="000000" w:themeColor="text1"/>
            </w:rPr>
            <w:tab/>
          </w:r>
          <w:r>
            <w:rPr>
              <w:color w:val="000000" w:themeColor="text1"/>
            </w:rPr>
            <w:fldChar w:fldCharType="begin"/>
          </w:r>
          <w:r>
            <w:rPr>
              <w:color w:val="000000" w:themeColor="text1"/>
            </w:rPr>
            <w:instrText xml:space="preserve"> PAGEREF _Toc150435275 \h </w:instrText>
          </w:r>
          <w:r>
            <w:rPr>
              <w:color w:val="000000" w:themeColor="text1"/>
            </w:rPr>
            <w:fldChar w:fldCharType="separate"/>
          </w:r>
          <w:r>
            <w:rPr>
              <w:color w:val="000000" w:themeColor="text1"/>
            </w:rPr>
            <w:t>138</w:t>
          </w:r>
          <w:r>
            <w:rPr>
              <w:color w:val="000000" w:themeColor="text1"/>
            </w:rPr>
            <w:fldChar w:fldCharType="end"/>
          </w:r>
          <w:r>
            <w:rPr>
              <w:color w:val="000000" w:themeColor="text1"/>
            </w:rPr>
            <w:fldChar w:fldCharType="end"/>
          </w:r>
        </w:p>
        <w:p>
          <w:pPr>
            <w:pStyle w:val="11"/>
            <w:tabs>
              <w:tab w:val="right" w:leader="dot" w:pos="8296"/>
            </w:tabs>
            <w:rPr>
              <w:color w:val="000000" w:themeColor="text1"/>
            </w:rPr>
          </w:pPr>
          <w:r>
            <w:fldChar w:fldCharType="begin"/>
          </w:r>
          <w:r>
            <w:instrText xml:space="preserve"> HYPERLINK \l "_Toc150435276" </w:instrText>
          </w:r>
          <w:r>
            <w:fldChar w:fldCharType="separate"/>
          </w:r>
          <w:r>
            <w:rPr>
              <w:rStyle w:val="31"/>
              <w:color w:val="000000" w:themeColor="text1"/>
            </w:rPr>
            <w:t>案例三：小区锅炉房无事故隐患排查制度</w:t>
          </w:r>
          <w:r>
            <w:rPr>
              <w:color w:val="000000" w:themeColor="text1"/>
            </w:rPr>
            <w:tab/>
          </w:r>
          <w:r>
            <w:rPr>
              <w:color w:val="000000" w:themeColor="text1"/>
            </w:rPr>
            <w:fldChar w:fldCharType="begin"/>
          </w:r>
          <w:r>
            <w:rPr>
              <w:color w:val="000000" w:themeColor="text1"/>
            </w:rPr>
            <w:instrText xml:space="preserve"> PAGEREF _Toc150435276 \h </w:instrText>
          </w:r>
          <w:r>
            <w:rPr>
              <w:color w:val="000000" w:themeColor="text1"/>
            </w:rPr>
            <w:fldChar w:fldCharType="separate"/>
          </w:r>
          <w:r>
            <w:rPr>
              <w:color w:val="000000" w:themeColor="text1"/>
            </w:rPr>
            <w:t>139</w:t>
          </w:r>
          <w:r>
            <w:rPr>
              <w:color w:val="000000" w:themeColor="text1"/>
            </w:rPr>
            <w:fldChar w:fldCharType="end"/>
          </w:r>
          <w:r>
            <w:rPr>
              <w:color w:val="000000" w:themeColor="text1"/>
            </w:rPr>
            <w:fldChar w:fldCharType="end"/>
          </w:r>
        </w:p>
        <w:p>
          <w:pPr>
            <w:pStyle w:val="11"/>
            <w:tabs>
              <w:tab w:val="right" w:leader="dot" w:pos="8296"/>
            </w:tabs>
            <w:rPr>
              <w:color w:val="000000" w:themeColor="text1"/>
            </w:rPr>
          </w:pPr>
          <w:r>
            <w:fldChar w:fldCharType="begin"/>
          </w:r>
          <w:r>
            <w:instrText xml:space="preserve"> HYPERLINK \l "_Toc150435277" </w:instrText>
          </w:r>
          <w:r>
            <w:fldChar w:fldCharType="separate"/>
          </w:r>
          <w:r>
            <w:rPr>
              <w:rStyle w:val="31"/>
              <w:color w:val="000000" w:themeColor="text1"/>
            </w:rPr>
            <w:t>案例四：未按照垃圾分类规定管理垃圾分类收集容器</w:t>
          </w:r>
          <w:r>
            <w:rPr>
              <w:color w:val="000000" w:themeColor="text1"/>
            </w:rPr>
            <w:tab/>
          </w:r>
          <w:r>
            <w:rPr>
              <w:color w:val="000000" w:themeColor="text1"/>
            </w:rPr>
            <w:fldChar w:fldCharType="begin"/>
          </w:r>
          <w:r>
            <w:rPr>
              <w:color w:val="000000" w:themeColor="text1"/>
            </w:rPr>
            <w:instrText xml:space="preserve"> PAGEREF _Toc150435277 \h </w:instrText>
          </w:r>
          <w:r>
            <w:rPr>
              <w:color w:val="000000" w:themeColor="text1"/>
            </w:rPr>
            <w:fldChar w:fldCharType="separate"/>
          </w:r>
          <w:r>
            <w:rPr>
              <w:color w:val="000000" w:themeColor="text1"/>
            </w:rPr>
            <w:t>139</w:t>
          </w:r>
          <w:r>
            <w:rPr>
              <w:color w:val="000000" w:themeColor="text1"/>
            </w:rPr>
            <w:fldChar w:fldCharType="end"/>
          </w:r>
          <w:r>
            <w:rPr>
              <w:color w:val="000000" w:themeColor="text1"/>
            </w:rPr>
            <w:fldChar w:fldCharType="end"/>
          </w:r>
        </w:p>
        <w:p>
          <w:pPr>
            <w:pStyle w:val="18"/>
            <w:rPr>
              <w:rFonts w:asciiTheme="minorHAnsi" w:eastAsiaTheme="minorEastAsia"/>
              <w:b w:val="0"/>
              <w:color w:val="000000" w:themeColor="text1"/>
              <w:szCs w:val="22"/>
            </w:rPr>
          </w:pPr>
          <w:r>
            <w:fldChar w:fldCharType="begin"/>
          </w:r>
          <w:r>
            <w:instrText xml:space="preserve"> HYPERLINK \l "_Toc150435278" </w:instrText>
          </w:r>
          <w:r>
            <w:fldChar w:fldCharType="separate"/>
          </w:r>
          <w:r>
            <w:rPr>
              <w:rStyle w:val="31"/>
              <w:color w:val="000000" w:themeColor="text1"/>
            </w:rPr>
            <w:t>六、 物业服务企业违法事项——园林绿化部门处罚案例</w:t>
          </w:r>
          <w:r>
            <w:rPr>
              <w:color w:val="000000" w:themeColor="text1"/>
            </w:rPr>
            <w:tab/>
          </w:r>
          <w:r>
            <w:rPr>
              <w:color w:val="000000" w:themeColor="text1"/>
            </w:rPr>
            <w:fldChar w:fldCharType="begin"/>
          </w:r>
          <w:r>
            <w:rPr>
              <w:color w:val="000000" w:themeColor="text1"/>
            </w:rPr>
            <w:instrText xml:space="preserve"> PAGEREF _Toc150435278 \h </w:instrText>
          </w:r>
          <w:r>
            <w:rPr>
              <w:color w:val="000000" w:themeColor="text1"/>
            </w:rPr>
            <w:fldChar w:fldCharType="separate"/>
          </w:r>
          <w:r>
            <w:rPr>
              <w:color w:val="000000" w:themeColor="text1"/>
            </w:rPr>
            <w:t>140</w:t>
          </w:r>
          <w:r>
            <w:rPr>
              <w:color w:val="000000" w:themeColor="text1"/>
            </w:rPr>
            <w:fldChar w:fldCharType="end"/>
          </w:r>
          <w:r>
            <w:rPr>
              <w:color w:val="000000" w:themeColor="text1"/>
            </w:rPr>
            <w:fldChar w:fldCharType="end"/>
          </w:r>
        </w:p>
        <w:p>
          <w:pPr>
            <w:pStyle w:val="11"/>
            <w:tabs>
              <w:tab w:val="right" w:leader="dot" w:pos="8296"/>
            </w:tabs>
            <w:rPr>
              <w:color w:val="000000" w:themeColor="text1"/>
            </w:rPr>
          </w:pPr>
          <w:r>
            <w:fldChar w:fldCharType="begin"/>
          </w:r>
          <w:r>
            <w:instrText xml:space="preserve"> HYPERLINK \l "_Toc150435279" </w:instrText>
          </w:r>
          <w:r>
            <w:fldChar w:fldCharType="separate"/>
          </w:r>
          <w:r>
            <w:rPr>
              <w:rStyle w:val="31"/>
              <w:color w:val="000000" w:themeColor="text1"/>
            </w:rPr>
            <w:t>案例一：擅自截除树木主干、去除树冠</w:t>
          </w:r>
          <w:r>
            <w:rPr>
              <w:color w:val="000000" w:themeColor="text1"/>
            </w:rPr>
            <w:tab/>
          </w:r>
          <w:r>
            <w:rPr>
              <w:color w:val="000000" w:themeColor="text1"/>
            </w:rPr>
            <w:fldChar w:fldCharType="begin"/>
          </w:r>
          <w:r>
            <w:rPr>
              <w:color w:val="000000" w:themeColor="text1"/>
            </w:rPr>
            <w:instrText xml:space="preserve"> PAGEREF _Toc150435279 \h </w:instrText>
          </w:r>
          <w:r>
            <w:rPr>
              <w:color w:val="000000" w:themeColor="text1"/>
            </w:rPr>
            <w:fldChar w:fldCharType="separate"/>
          </w:r>
          <w:r>
            <w:rPr>
              <w:color w:val="000000" w:themeColor="text1"/>
            </w:rPr>
            <w:t>140</w:t>
          </w:r>
          <w:r>
            <w:rPr>
              <w:color w:val="000000" w:themeColor="text1"/>
            </w:rPr>
            <w:fldChar w:fldCharType="end"/>
          </w:r>
          <w:r>
            <w:rPr>
              <w:color w:val="000000" w:themeColor="text1"/>
            </w:rPr>
            <w:fldChar w:fldCharType="end"/>
          </w:r>
        </w:p>
        <w:p>
          <w:pPr>
            <w:pStyle w:val="11"/>
            <w:tabs>
              <w:tab w:val="right" w:leader="dot" w:pos="8296"/>
            </w:tabs>
            <w:rPr>
              <w:color w:val="000000" w:themeColor="text1"/>
            </w:rPr>
          </w:pPr>
          <w:r>
            <w:fldChar w:fldCharType="begin"/>
          </w:r>
          <w:r>
            <w:instrText xml:space="preserve"> HYPERLINK \l "_Toc150435280" </w:instrText>
          </w:r>
          <w:r>
            <w:fldChar w:fldCharType="separate"/>
          </w:r>
          <w:r>
            <w:rPr>
              <w:rStyle w:val="31"/>
              <w:color w:val="000000" w:themeColor="text1"/>
            </w:rPr>
            <w:t>案例二：未经许可私自砍伐树木</w:t>
          </w:r>
          <w:r>
            <w:rPr>
              <w:color w:val="000000" w:themeColor="text1"/>
            </w:rPr>
            <w:tab/>
          </w:r>
          <w:r>
            <w:rPr>
              <w:color w:val="000000" w:themeColor="text1"/>
            </w:rPr>
            <w:fldChar w:fldCharType="begin"/>
          </w:r>
          <w:r>
            <w:rPr>
              <w:color w:val="000000" w:themeColor="text1"/>
            </w:rPr>
            <w:instrText xml:space="preserve"> PAGEREF _Toc150435280 \h </w:instrText>
          </w:r>
          <w:r>
            <w:rPr>
              <w:color w:val="000000" w:themeColor="text1"/>
            </w:rPr>
            <w:fldChar w:fldCharType="separate"/>
          </w:r>
          <w:r>
            <w:rPr>
              <w:color w:val="000000" w:themeColor="text1"/>
            </w:rPr>
            <w:t>140</w:t>
          </w:r>
          <w:r>
            <w:rPr>
              <w:color w:val="000000" w:themeColor="text1"/>
            </w:rPr>
            <w:fldChar w:fldCharType="end"/>
          </w:r>
          <w:r>
            <w:rPr>
              <w:color w:val="000000" w:themeColor="text1"/>
            </w:rPr>
            <w:fldChar w:fldCharType="end"/>
          </w:r>
        </w:p>
        <w:p>
          <w:pPr>
            <w:pStyle w:val="11"/>
            <w:tabs>
              <w:tab w:val="right" w:leader="dot" w:pos="8296"/>
            </w:tabs>
            <w:rPr>
              <w:color w:val="000000" w:themeColor="text1"/>
            </w:rPr>
          </w:pPr>
          <w:r>
            <w:fldChar w:fldCharType="begin"/>
          </w:r>
          <w:r>
            <w:instrText xml:space="preserve"> HYPERLINK \l "_Toc150435281" </w:instrText>
          </w:r>
          <w:r>
            <w:fldChar w:fldCharType="separate"/>
          </w:r>
          <w:r>
            <w:rPr>
              <w:rStyle w:val="31"/>
              <w:color w:val="000000" w:themeColor="text1"/>
            </w:rPr>
            <w:t>案例三：未经许可私自迁移树木</w:t>
          </w:r>
          <w:r>
            <w:rPr>
              <w:color w:val="000000" w:themeColor="text1"/>
            </w:rPr>
            <w:tab/>
          </w:r>
          <w:r>
            <w:rPr>
              <w:color w:val="000000" w:themeColor="text1"/>
            </w:rPr>
            <w:fldChar w:fldCharType="begin"/>
          </w:r>
          <w:r>
            <w:rPr>
              <w:color w:val="000000" w:themeColor="text1"/>
            </w:rPr>
            <w:instrText xml:space="preserve"> PAGEREF _Toc150435281 \h </w:instrText>
          </w:r>
          <w:r>
            <w:rPr>
              <w:color w:val="000000" w:themeColor="text1"/>
            </w:rPr>
            <w:fldChar w:fldCharType="separate"/>
          </w:r>
          <w:r>
            <w:rPr>
              <w:color w:val="000000" w:themeColor="text1"/>
            </w:rPr>
            <w:t>141</w:t>
          </w:r>
          <w:r>
            <w:rPr>
              <w:color w:val="000000" w:themeColor="text1"/>
            </w:rPr>
            <w:fldChar w:fldCharType="end"/>
          </w:r>
          <w:r>
            <w:rPr>
              <w:color w:val="000000" w:themeColor="text1"/>
            </w:rPr>
            <w:fldChar w:fldCharType="end"/>
          </w:r>
        </w:p>
        <w:p>
          <w:pPr>
            <w:pStyle w:val="18"/>
            <w:rPr>
              <w:rFonts w:asciiTheme="minorHAnsi" w:eastAsiaTheme="minorEastAsia"/>
              <w:b w:val="0"/>
              <w:color w:val="000000" w:themeColor="text1"/>
              <w:szCs w:val="22"/>
            </w:rPr>
          </w:pPr>
          <w:r>
            <w:fldChar w:fldCharType="begin"/>
          </w:r>
          <w:r>
            <w:instrText xml:space="preserve"> HYPERLINK \l "_Toc150435282" </w:instrText>
          </w:r>
          <w:r>
            <w:fldChar w:fldCharType="separate"/>
          </w:r>
          <w:r>
            <w:rPr>
              <w:rStyle w:val="31"/>
              <w:color w:val="000000" w:themeColor="text1"/>
            </w:rPr>
            <w:t>七、 物业服务企业违法事项——人防部门处罚案例</w:t>
          </w:r>
          <w:r>
            <w:rPr>
              <w:color w:val="000000" w:themeColor="text1"/>
            </w:rPr>
            <w:tab/>
          </w:r>
          <w:r>
            <w:rPr>
              <w:color w:val="000000" w:themeColor="text1"/>
            </w:rPr>
            <w:fldChar w:fldCharType="begin"/>
          </w:r>
          <w:r>
            <w:rPr>
              <w:color w:val="000000" w:themeColor="text1"/>
            </w:rPr>
            <w:instrText xml:space="preserve"> PAGEREF _Toc150435282 \h </w:instrText>
          </w:r>
          <w:r>
            <w:rPr>
              <w:color w:val="000000" w:themeColor="text1"/>
            </w:rPr>
            <w:fldChar w:fldCharType="separate"/>
          </w:r>
          <w:r>
            <w:rPr>
              <w:color w:val="000000" w:themeColor="text1"/>
            </w:rPr>
            <w:t>142</w:t>
          </w:r>
          <w:r>
            <w:rPr>
              <w:color w:val="000000" w:themeColor="text1"/>
            </w:rPr>
            <w:fldChar w:fldCharType="end"/>
          </w:r>
          <w:r>
            <w:rPr>
              <w:color w:val="000000" w:themeColor="text1"/>
            </w:rPr>
            <w:fldChar w:fldCharType="end"/>
          </w:r>
        </w:p>
        <w:p>
          <w:pPr>
            <w:pStyle w:val="11"/>
            <w:tabs>
              <w:tab w:val="right" w:leader="dot" w:pos="8296"/>
            </w:tabs>
            <w:rPr>
              <w:color w:val="000000" w:themeColor="text1"/>
            </w:rPr>
          </w:pPr>
          <w:r>
            <w:fldChar w:fldCharType="begin"/>
          </w:r>
          <w:r>
            <w:instrText xml:space="preserve"> HYPERLINK \l "_Toc150435283" </w:instrText>
          </w:r>
          <w:r>
            <w:fldChar w:fldCharType="separate"/>
          </w:r>
          <w:r>
            <w:rPr>
              <w:rStyle w:val="31"/>
              <w:color w:val="000000" w:themeColor="text1"/>
            </w:rPr>
            <w:t>案例一：未经批准，擅自使用、改造人防工程</w:t>
          </w:r>
          <w:r>
            <w:rPr>
              <w:color w:val="000000" w:themeColor="text1"/>
            </w:rPr>
            <w:tab/>
          </w:r>
          <w:r>
            <w:rPr>
              <w:color w:val="000000" w:themeColor="text1"/>
            </w:rPr>
            <w:fldChar w:fldCharType="begin"/>
          </w:r>
          <w:r>
            <w:rPr>
              <w:color w:val="000000" w:themeColor="text1"/>
            </w:rPr>
            <w:instrText xml:space="preserve"> PAGEREF _Toc150435283 \h </w:instrText>
          </w:r>
          <w:r>
            <w:rPr>
              <w:color w:val="000000" w:themeColor="text1"/>
            </w:rPr>
            <w:fldChar w:fldCharType="separate"/>
          </w:r>
          <w:r>
            <w:rPr>
              <w:color w:val="000000" w:themeColor="text1"/>
            </w:rPr>
            <w:t>142</w:t>
          </w:r>
          <w:r>
            <w:rPr>
              <w:color w:val="000000" w:themeColor="text1"/>
            </w:rPr>
            <w:fldChar w:fldCharType="end"/>
          </w:r>
          <w:r>
            <w:rPr>
              <w:color w:val="000000" w:themeColor="text1"/>
            </w:rPr>
            <w:fldChar w:fldCharType="end"/>
          </w:r>
        </w:p>
        <w:p>
          <w:pPr>
            <w:pStyle w:val="11"/>
            <w:tabs>
              <w:tab w:val="right" w:leader="dot" w:pos="8296"/>
            </w:tabs>
            <w:rPr>
              <w:color w:val="000000" w:themeColor="text1"/>
            </w:rPr>
          </w:pPr>
          <w:r>
            <w:fldChar w:fldCharType="begin"/>
          </w:r>
          <w:r>
            <w:instrText xml:space="preserve"> HYPERLINK \l "_Toc150435284" </w:instrText>
          </w:r>
          <w:r>
            <w:fldChar w:fldCharType="separate"/>
          </w:r>
          <w:r>
            <w:rPr>
              <w:rStyle w:val="31"/>
              <w:color w:val="000000" w:themeColor="text1"/>
            </w:rPr>
            <w:t>案例二：擅自改造人防工程，私加管道</w:t>
          </w:r>
          <w:r>
            <w:rPr>
              <w:color w:val="000000" w:themeColor="text1"/>
            </w:rPr>
            <w:tab/>
          </w:r>
          <w:r>
            <w:rPr>
              <w:color w:val="000000" w:themeColor="text1"/>
            </w:rPr>
            <w:fldChar w:fldCharType="begin"/>
          </w:r>
          <w:r>
            <w:rPr>
              <w:color w:val="000000" w:themeColor="text1"/>
            </w:rPr>
            <w:instrText xml:space="preserve"> PAGEREF _Toc150435284 \h </w:instrText>
          </w:r>
          <w:r>
            <w:rPr>
              <w:color w:val="000000" w:themeColor="text1"/>
            </w:rPr>
            <w:fldChar w:fldCharType="separate"/>
          </w:r>
          <w:r>
            <w:rPr>
              <w:color w:val="000000" w:themeColor="text1"/>
            </w:rPr>
            <w:t>142</w:t>
          </w:r>
          <w:r>
            <w:rPr>
              <w:color w:val="000000" w:themeColor="text1"/>
            </w:rPr>
            <w:fldChar w:fldCharType="end"/>
          </w:r>
          <w:r>
            <w:rPr>
              <w:color w:val="000000" w:themeColor="text1"/>
            </w:rPr>
            <w:fldChar w:fldCharType="end"/>
          </w:r>
        </w:p>
        <w:p>
          <w:pPr>
            <w:pStyle w:val="11"/>
            <w:tabs>
              <w:tab w:val="right" w:leader="dot" w:pos="8296"/>
            </w:tabs>
            <w:rPr>
              <w:color w:val="000000" w:themeColor="text1"/>
            </w:rPr>
          </w:pPr>
          <w:r>
            <w:fldChar w:fldCharType="begin"/>
          </w:r>
          <w:r>
            <w:instrText xml:space="preserve"> HYPERLINK \l "_Toc150435285" </w:instrText>
          </w:r>
          <w:r>
            <w:fldChar w:fldCharType="separate"/>
          </w:r>
          <w:r>
            <w:rPr>
              <w:rStyle w:val="31"/>
              <w:color w:val="000000" w:themeColor="text1"/>
            </w:rPr>
            <w:t>案例三：物业公司擅自占用人防空间堆放杂物</w:t>
          </w:r>
          <w:r>
            <w:rPr>
              <w:color w:val="000000" w:themeColor="text1"/>
            </w:rPr>
            <w:tab/>
          </w:r>
          <w:r>
            <w:rPr>
              <w:color w:val="000000" w:themeColor="text1"/>
            </w:rPr>
            <w:fldChar w:fldCharType="begin"/>
          </w:r>
          <w:r>
            <w:rPr>
              <w:color w:val="000000" w:themeColor="text1"/>
            </w:rPr>
            <w:instrText xml:space="preserve"> PAGEREF _Toc150435285 \h </w:instrText>
          </w:r>
          <w:r>
            <w:rPr>
              <w:color w:val="000000" w:themeColor="text1"/>
            </w:rPr>
            <w:fldChar w:fldCharType="separate"/>
          </w:r>
          <w:r>
            <w:rPr>
              <w:color w:val="000000" w:themeColor="text1"/>
            </w:rPr>
            <w:t>143</w:t>
          </w:r>
          <w:r>
            <w:rPr>
              <w:color w:val="000000" w:themeColor="text1"/>
            </w:rPr>
            <w:fldChar w:fldCharType="end"/>
          </w:r>
          <w:r>
            <w:rPr>
              <w:color w:val="000000" w:themeColor="text1"/>
            </w:rPr>
            <w:fldChar w:fldCharType="end"/>
          </w:r>
        </w:p>
        <w:p>
          <w:pPr>
            <w:pStyle w:val="18"/>
            <w:rPr>
              <w:rFonts w:asciiTheme="minorHAnsi" w:eastAsiaTheme="minorEastAsia"/>
              <w:b w:val="0"/>
              <w:color w:val="000000" w:themeColor="text1"/>
              <w:szCs w:val="22"/>
            </w:rPr>
          </w:pPr>
          <w:r>
            <w:fldChar w:fldCharType="begin"/>
          </w:r>
          <w:r>
            <w:instrText xml:space="preserve"> HYPERLINK \l "_Toc150435286" </w:instrText>
          </w:r>
          <w:r>
            <w:fldChar w:fldCharType="separate"/>
          </w:r>
          <w:r>
            <w:rPr>
              <w:rStyle w:val="31"/>
              <w:color w:val="000000" w:themeColor="text1"/>
            </w:rPr>
            <w:t>八、 物业服务企业违法事项——住房城乡建设部门处罚案例</w:t>
          </w:r>
          <w:r>
            <w:rPr>
              <w:color w:val="000000" w:themeColor="text1"/>
            </w:rPr>
            <w:tab/>
          </w:r>
          <w:r>
            <w:rPr>
              <w:color w:val="000000" w:themeColor="text1"/>
            </w:rPr>
            <w:fldChar w:fldCharType="begin"/>
          </w:r>
          <w:r>
            <w:rPr>
              <w:color w:val="000000" w:themeColor="text1"/>
            </w:rPr>
            <w:instrText xml:space="preserve"> PAGEREF _Toc150435286 \h </w:instrText>
          </w:r>
          <w:r>
            <w:rPr>
              <w:color w:val="000000" w:themeColor="text1"/>
            </w:rPr>
            <w:fldChar w:fldCharType="separate"/>
          </w:r>
          <w:r>
            <w:rPr>
              <w:color w:val="000000" w:themeColor="text1"/>
            </w:rPr>
            <w:t>144</w:t>
          </w:r>
          <w:r>
            <w:rPr>
              <w:color w:val="000000" w:themeColor="text1"/>
            </w:rPr>
            <w:fldChar w:fldCharType="end"/>
          </w:r>
          <w:r>
            <w:rPr>
              <w:color w:val="000000" w:themeColor="text1"/>
            </w:rPr>
            <w:fldChar w:fldCharType="end"/>
          </w:r>
        </w:p>
        <w:p>
          <w:pPr>
            <w:pStyle w:val="11"/>
            <w:tabs>
              <w:tab w:val="right" w:leader="dot" w:pos="8296"/>
            </w:tabs>
            <w:rPr>
              <w:color w:val="000000" w:themeColor="text1"/>
            </w:rPr>
          </w:pPr>
          <w:r>
            <w:fldChar w:fldCharType="begin"/>
          </w:r>
          <w:r>
            <w:instrText xml:space="preserve"> HYPERLINK \l "_Toc150435287" </w:instrText>
          </w:r>
          <w:r>
            <w:fldChar w:fldCharType="separate"/>
          </w:r>
          <w:r>
            <w:rPr>
              <w:rStyle w:val="31"/>
              <w:color w:val="000000" w:themeColor="text1"/>
            </w:rPr>
            <w:t>案例一：物业公司未按照物业服务管理合同约定的服务等级提供物业服务</w:t>
          </w:r>
          <w:r>
            <w:rPr>
              <w:color w:val="000000" w:themeColor="text1"/>
            </w:rPr>
            <w:tab/>
          </w:r>
          <w:r>
            <w:rPr>
              <w:color w:val="000000" w:themeColor="text1"/>
            </w:rPr>
            <w:fldChar w:fldCharType="begin"/>
          </w:r>
          <w:r>
            <w:rPr>
              <w:color w:val="000000" w:themeColor="text1"/>
            </w:rPr>
            <w:instrText xml:space="preserve"> PAGEREF _Toc150435287 \h </w:instrText>
          </w:r>
          <w:r>
            <w:rPr>
              <w:color w:val="000000" w:themeColor="text1"/>
            </w:rPr>
            <w:fldChar w:fldCharType="separate"/>
          </w:r>
          <w:r>
            <w:rPr>
              <w:color w:val="000000" w:themeColor="text1"/>
            </w:rPr>
            <w:t>144</w:t>
          </w:r>
          <w:r>
            <w:rPr>
              <w:color w:val="000000" w:themeColor="text1"/>
            </w:rPr>
            <w:fldChar w:fldCharType="end"/>
          </w:r>
          <w:r>
            <w:rPr>
              <w:color w:val="000000" w:themeColor="text1"/>
            </w:rPr>
            <w:fldChar w:fldCharType="end"/>
          </w:r>
        </w:p>
        <w:p>
          <w:pPr>
            <w:pStyle w:val="11"/>
            <w:tabs>
              <w:tab w:val="right" w:leader="dot" w:pos="8296"/>
            </w:tabs>
            <w:rPr>
              <w:color w:val="000000" w:themeColor="text1"/>
            </w:rPr>
          </w:pPr>
          <w:r>
            <w:fldChar w:fldCharType="begin"/>
          </w:r>
          <w:r>
            <w:instrText xml:space="preserve"> HYPERLINK \l "_Toc150435288" </w:instrText>
          </w:r>
          <w:r>
            <w:fldChar w:fldCharType="separate"/>
          </w:r>
          <w:r>
            <w:rPr>
              <w:rStyle w:val="31"/>
              <w:color w:val="000000" w:themeColor="text1"/>
            </w:rPr>
            <w:t>案例二：物业公司未在小区物业管理区域内显著位置设置公示栏，如实公示、及时更新公示信息</w:t>
          </w:r>
          <w:r>
            <w:rPr>
              <w:color w:val="000000" w:themeColor="text1"/>
            </w:rPr>
            <w:tab/>
          </w:r>
          <w:r>
            <w:rPr>
              <w:color w:val="000000" w:themeColor="text1"/>
            </w:rPr>
            <w:fldChar w:fldCharType="begin"/>
          </w:r>
          <w:r>
            <w:rPr>
              <w:color w:val="000000" w:themeColor="text1"/>
            </w:rPr>
            <w:instrText xml:space="preserve"> PAGEREF _Toc150435288 \h </w:instrText>
          </w:r>
          <w:r>
            <w:rPr>
              <w:color w:val="000000" w:themeColor="text1"/>
            </w:rPr>
            <w:fldChar w:fldCharType="separate"/>
          </w:r>
          <w:r>
            <w:rPr>
              <w:color w:val="000000" w:themeColor="text1"/>
            </w:rPr>
            <w:t>146</w:t>
          </w:r>
          <w:r>
            <w:rPr>
              <w:color w:val="000000" w:themeColor="text1"/>
            </w:rPr>
            <w:fldChar w:fldCharType="end"/>
          </w:r>
          <w:r>
            <w:rPr>
              <w:color w:val="000000" w:themeColor="text1"/>
            </w:rPr>
            <w:fldChar w:fldCharType="end"/>
          </w:r>
        </w:p>
        <w:p>
          <w:pPr>
            <w:pStyle w:val="11"/>
            <w:tabs>
              <w:tab w:val="right" w:leader="dot" w:pos="8296"/>
            </w:tabs>
            <w:rPr>
              <w:color w:val="000000" w:themeColor="text1"/>
            </w:rPr>
          </w:pPr>
          <w:r>
            <w:fldChar w:fldCharType="begin"/>
          </w:r>
          <w:r>
            <w:instrText xml:space="preserve"> HYPERLINK \l "_Toc150435289" </w:instrText>
          </w:r>
          <w:r>
            <w:fldChar w:fldCharType="separate"/>
          </w:r>
          <w:r>
            <w:rPr>
              <w:rStyle w:val="31"/>
              <w:color w:val="000000" w:themeColor="text1"/>
            </w:rPr>
            <w:t>案例三：物业公司管理区域未配备房屋建筑结构安全管理员</w:t>
          </w:r>
          <w:r>
            <w:rPr>
              <w:color w:val="000000" w:themeColor="text1"/>
            </w:rPr>
            <w:tab/>
          </w:r>
          <w:r>
            <w:rPr>
              <w:color w:val="000000" w:themeColor="text1"/>
            </w:rPr>
            <w:fldChar w:fldCharType="begin"/>
          </w:r>
          <w:r>
            <w:rPr>
              <w:color w:val="000000" w:themeColor="text1"/>
            </w:rPr>
            <w:instrText xml:space="preserve"> PAGEREF _Toc150435289 \h </w:instrText>
          </w:r>
          <w:r>
            <w:rPr>
              <w:color w:val="000000" w:themeColor="text1"/>
            </w:rPr>
            <w:fldChar w:fldCharType="separate"/>
          </w:r>
          <w:r>
            <w:rPr>
              <w:color w:val="000000" w:themeColor="text1"/>
            </w:rPr>
            <w:t>148</w:t>
          </w:r>
          <w:r>
            <w:rPr>
              <w:color w:val="000000" w:themeColor="text1"/>
            </w:rPr>
            <w:fldChar w:fldCharType="end"/>
          </w:r>
          <w:r>
            <w:rPr>
              <w:color w:val="000000" w:themeColor="text1"/>
            </w:rPr>
            <w:fldChar w:fldCharType="end"/>
          </w:r>
        </w:p>
        <w:p>
          <w:pPr>
            <w:pStyle w:val="11"/>
            <w:tabs>
              <w:tab w:val="right" w:leader="dot" w:pos="8296"/>
            </w:tabs>
            <w:rPr>
              <w:color w:val="000000" w:themeColor="text1"/>
            </w:rPr>
          </w:pPr>
          <w:r>
            <w:fldChar w:fldCharType="begin"/>
          </w:r>
          <w:r>
            <w:instrText xml:space="preserve"> HYPERLINK \l "_Toc150435290" </w:instrText>
          </w:r>
          <w:r>
            <w:fldChar w:fldCharType="separate"/>
          </w:r>
          <w:r>
            <w:rPr>
              <w:rStyle w:val="31"/>
              <w:color w:val="000000" w:themeColor="text1"/>
            </w:rPr>
            <w:t>案例四：高空抛物物业担责</w:t>
          </w:r>
          <w:r>
            <w:rPr>
              <w:color w:val="000000" w:themeColor="text1"/>
            </w:rPr>
            <w:tab/>
          </w:r>
          <w:r>
            <w:rPr>
              <w:color w:val="000000" w:themeColor="text1"/>
            </w:rPr>
            <w:fldChar w:fldCharType="begin"/>
          </w:r>
          <w:r>
            <w:rPr>
              <w:color w:val="000000" w:themeColor="text1"/>
            </w:rPr>
            <w:instrText xml:space="preserve"> PAGEREF _Toc150435290 \h </w:instrText>
          </w:r>
          <w:r>
            <w:rPr>
              <w:color w:val="000000" w:themeColor="text1"/>
            </w:rPr>
            <w:fldChar w:fldCharType="separate"/>
          </w:r>
          <w:r>
            <w:rPr>
              <w:color w:val="000000" w:themeColor="text1"/>
            </w:rPr>
            <w:t>149</w:t>
          </w:r>
          <w:r>
            <w:rPr>
              <w:color w:val="000000" w:themeColor="text1"/>
            </w:rPr>
            <w:fldChar w:fldCharType="end"/>
          </w:r>
          <w:r>
            <w:rPr>
              <w:color w:val="000000" w:themeColor="text1"/>
            </w:rPr>
            <w:fldChar w:fldCharType="end"/>
          </w:r>
        </w:p>
        <w:p>
          <w:pPr>
            <w:pStyle w:val="21"/>
            <w:tabs>
              <w:tab w:val="right" w:leader="dot" w:pos="8296"/>
            </w:tabs>
            <w:rPr>
              <w:color w:val="000000" w:themeColor="text1"/>
              <w:szCs w:val="22"/>
            </w:rPr>
          </w:pPr>
          <w:r>
            <w:fldChar w:fldCharType="begin"/>
          </w:r>
          <w:r>
            <w:instrText xml:space="preserve"> HYPERLINK \l "_Toc150435291" </w:instrText>
          </w:r>
          <w:r>
            <w:fldChar w:fldCharType="separate"/>
          </w:r>
          <w:r>
            <w:rPr>
              <w:rStyle w:val="31"/>
              <w:rFonts w:ascii="方正小标宋简体" w:hAnsi="方正小标宋简体" w:eastAsia="方正小标宋简体" w:cs="方正小标宋简体"/>
              <w:b/>
              <w:color w:val="000000" w:themeColor="text1"/>
              <w:spacing w:val="20"/>
              <w:kern w:val="44"/>
            </w:rPr>
            <w:t>第三篇</w:t>
          </w:r>
          <w:r>
            <w:rPr>
              <w:color w:val="000000" w:themeColor="text1"/>
            </w:rPr>
            <w:tab/>
          </w:r>
          <w:r>
            <w:rPr>
              <w:color w:val="000000" w:themeColor="text1"/>
            </w:rPr>
            <w:fldChar w:fldCharType="begin"/>
          </w:r>
          <w:r>
            <w:rPr>
              <w:color w:val="000000" w:themeColor="text1"/>
            </w:rPr>
            <w:instrText xml:space="preserve"> PAGEREF _Toc150435291 \h </w:instrText>
          </w:r>
          <w:r>
            <w:rPr>
              <w:color w:val="000000" w:themeColor="text1"/>
            </w:rPr>
            <w:fldChar w:fldCharType="separate"/>
          </w:r>
          <w:r>
            <w:rPr>
              <w:color w:val="000000" w:themeColor="text1"/>
            </w:rPr>
            <w:t>151</w:t>
          </w:r>
          <w:r>
            <w:rPr>
              <w:color w:val="000000" w:themeColor="text1"/>
            </w:rPr>
            <w:fldChar w:fldCharType="end"/>
          </w:r>
          <w:r>
            <w:rPr>
              <w:color w:val="000000" w:themeColor="text1"/>
            </w:rPr>
            <w:fldChar w:fldCharType="end"/>
          </w:r>
        </w:p>
        <w:p>
          <w:pPr>
            <w:pStyle w:val="18"/>
            <w:rPr>
              <w:rFonts w:asciiTheme="minorHAnsi" w:eastAsiaTheme="minorEastAsia"/>
              <w:b w:val="0"/>
              <w:color w:val="000000" w:themeColor="text1"/>
              <w:szCs w:val="22"/>
            </w:rPr>
          </w:pPr>
          <w:r>
            <w:fldChar w:fldCharType="begin"/>
          </w:r>
          <w:r>
            <w:instrText xml:space="preserve"> HYPERLINK \l "_Toc150435292" </w:instrText>
          </w:r>
          <w:r>
            <w:fldChar w:fldCharType="separate"/>
          </w:r>
          <w:r>
            <w:rPr>
              <w:rStyle w:val="31"/>
              <w:color w:val="000000" w:themeColor="text1"/>
            </w:rPr>
            <w:t>物业服务行业法律法规和部门规章摘编</w:t>
          </w:r>
          <w:r>
            <w:rPr>
              <w:color w:val="000000" w:themeColor="text1"/>
            </w:rPr>
            <w:tab/>
          </w:r>
          <w:r>
            <w:rPr>
              <w:color w:val="000000" w:themeColor="text1"/>
            </w:rPr>
            <w:fldChar w:fldCharType="begin"/>
          </w:r>
          <w:r>
            <w:rPr>
              <w:color w:val="000000" w:themeColor="text1"/>
            </w:rPr>
            <w:instrText xml:space="preserve"> PAGEREF _Toc150435292 \h </w:instrText>
          </w:r>
          <w:r>
            <w:rPr>
              <w:color w:val="000000" w:themeColor="text1"/>
            </w:rPr>
            <w:fldChar w:fldCharType="separate"/>
          </w:r>
          <w:r>
            <w:rPr>
              <w:color w:val="000000" w:themeColor="text1"/>
            </w:rPr>
            <w:t>154</w:t>
          </w:r>
          <w:r>
            <w:rPr>
              <w:color w:val="000000" w:themeColor="text1"/>
            </w:rPr>
            <w:fldChar w:fldCharType="end"/>
          </w:r>
          <w:r>
            <w:rPr>
              <w:color w:val="000000" w:themeColor="text1"/>
            </w:rPr>
            <w:fldChar w:fldCharType="end"/>
          </w:r>
        </w:p>
        <w:p>
          <w:pPr>
            <w:pStyle w:val="21"/>
            <w:tabs>
              <w:tab w:val="right" w:leader="dot" w:pos="8296"/>
            </w:tabs>
            <w:rPr>
              <w:color w:val="000000" w:themeColor="text1"/>
              <w:szCs w:val="22"/>
            </w:rPr>
          </w:pPr>
          <w:r>
            <w:fldChar w:fldCharType="begin"/>
          </w:r>
          <w:r>
            <w:instrText xml:space="preserve"> HYPERLINK \l "_Toc150435293" </w:instrText>
          </w:r>
          <w:r>
            <w:fldChar w:fldCharType="separate"/>
          </w:r>
          <w:r>
            <w:rPr>
              <w:rStyle w:val="31"/>
              <w:rFonts w:hAnsi="仿宋" w:cs="仿宋"/>
              <w:bCs/>
              <w:color w:val="000000" w:themeColor="text1"/>
              <w:kern w:val="0"/>
            </w:rPr>
            <w:t>目 录</w:t>
          </w:r>
          <w:r>
            <w:rPr>
              <w:color w:val="000000" w:themeColor="text1"/>
            </w:rPr>
            <w:tab/>
          </w:r>
          <w:r>
            <w:rPr>
              <w:color w:val="000000" w:themeColor="text1"/>
            </w:rPr>
            <w:fldChar w:fldCharType="begin"/>
          </w:r>
          <w:r>
            <w:rPr>
              <w:color w:val="000000" w:themeColor="text1"/>
            </w:rPr>
            <w:instrText xml:space="preserve"> PAGEREF _Toc150435293 \h </w:instrText>
          </w:r>
          <w:r>
            <w:rPr>
              <w:color w:val="000000" w:themeColor="text1"/>
            </w:rPr>
            <w:fldChar w:fldCharType="separate"/>
          </w:r>
          <w:r>
            <w:rPr>
              <w:color w:val="000000" w:themeColor="text1"/>
            </w:rPr>
            <w:t>154</w:t>
          </w:r>
          <w:r>
            <w:rPr>
              <w:color w:val="000000" w:themeColor="text1"/>
            </w:rPr>
            <w:fldChar w:fldCharType="end"/>
          </w:r>
          <w:r>
            <w:rPr>
              <w:color w:val="000000" w:themeColor="text1"/>
            </w:rPr>
            <w:fldChar w:fldCharType="end"/>
          </w:r>
        </w:p>
        <w:p>
          <w:pPr>
            <w:pStyle w:val="21"/>
            <w:tabs>
              <w:tab w:val="right" w:leader="dot" w:pos="8296"/>
            </w:tabs>
            <w:rPr>
              <w:color w:val="000000" w:themeColor="text1"/>
              <w:szCs w:val="22"/>
            </w:rPr>
          </w:pPr>
          <w:r>
            <w:fldChar w:fldCharType="begin"/>
          </w:r>
          <w:r>
            <w:instrText xml:space="preserve"> HYPERLINK \l "_Toc150435294" </w:instrText>
          </w:r>
          <w:r>
            <w:fldChar w:fldCharType="separate"/>
          </w:r>
          <w:r>
            <w:rPr>
              <w:rStyle w:val="31"/>
              <w:rFonts w:hAnsi="仿宋" w:cs="仿宋"/>
              <w:bCs/>
              <w:color w:val="000000" w:themeColor="text1"/>
              <w:kern w:val="0"/>
            </w:rPr>
            <w:t>摘 编</w:t>
          </w:r>
          <w:r>
            <w:rPr>
              <w:color w:val="000000" w:themeColor="text1"/>
            </w:rPr>
            <w:tab/>
          </w:r>
          <w:r>
            <w:rPr>
              <w:color w:val="000000" w:themeColor="text1"/>
            </w:rPr>
            <w:fldChar w:fldCharType="begin"/>
          </w:r>
          <w:r>
            <w:rPr>
              <w:color w:val="000000" w:themeColor="text1"/>
            </w:rPr>
            <w:instrText xml:space="preserve"> PAGEREF _Toc150435294 \h </w:instrText>
          </w:r>
          <w:r>
            <w:rPr>
              <w:color w:val="000000" w:themeColor="text1"/>
            </w:rPr>
            <w:fldChar w:fldCharType="separate"/>
          </w:r>
          <w:r>
            <w:rPr>
              <w:color w:val="000000" w:themeColor="text1"/>
            </w:rPr>
            <w:t>171</w:t>
          </w:r>
          <w:r>
            <w:rPr>
              <w:color w:val="000000" w:themeColor="text1"/>
            </w:rPr>
            <w:fldChar w:fldCharType="end"/>
          </w:r>
          <w:r>
            <w:rPr>
              <w:color w:val="000000" w:themeColor="text1"/>
            </w:rPr>
            <w:fldChar w:fldCharType="end"/>
          </w:r>
        </w:p>
        <w:p>
          <w:pPr>
            <w:pStyle w:val="11"/>
            <w:tabs>
              <w:tab w:val="right" w:leader="dot" w:pos="8296"/>
            </w:tabs>
            <w:rPr>
              <w:color w:val="000000" w:themeColor="text1"/>
            </w:rPr>
          </w:pPr>
          <w:r>
            <w:fldChar w:fldCharType="begin"/>
          </w:r>
          <w:r>
            <w:instrText xml:space="preserve"> HYPERLINK \l "_Toc150435295" </w:instrText>
          </w:r>
          <w:r>
            <w:fldChar w:fldCharType="separate"/>
          </w:r>
          <w:r>
            <w:rPr>
              <w:rStyle w:val="31"/>
              <w:color w:val="000000" w:themeColor="text1"/>
            </w:rPr>
            <w:t>市容监管方面</w:t>
          </w:r>
          <w:r>
            <w:rPr>
              <w:color w:val="000000" w:themeColor="text1"/>
            </w:rPr>
            <w:tab/>
          </w:r>
          <w:r>
            <w:rPr>
              <w:color w:val="000000" w:themeColor="text1"/>
            </w:rPr>
            <w:fldChar w:fldCharType="begin"/>
          </w:r>
          <w:r>
            <w:rPr>
              <w:color w:val="000000" w:themeColor="text1"/>
            </w:rPr>
            <w:instrText xml:space="preserve"> PAGEREF _Toc150435295 \h </w:instrText>
          </w:r>
          <w:r>
            <w:rPr>
              <w:color w:val="000000" w:themeColor="text1"/>
            </w:rPr>
            <w:fldChar w:fldCharType="separate"/>
          </w:r>
          <w:r>
            <w:rPr>
              <w:color w:val="000000" w:themeColor="text1"/>
            </w:rPr>
            <w:t>171</w:t>
          </w:r>
          <w:r>
            <w:rPr>
              <w:color w:val="000000" w:themeColor="text1"/>
            </w:rPr>
            <w:fldChar w:fldCharType="end"/>
          </w:r>
          <w:r>
            <w:rPr>
              <w:color w:val="000000" w:themeColor="text1"/>
            </w:rPr>
            <w:fldChar w:fldCharType="end"/>
          </w:r>
        </w:p>
        <w:p>
          <w:pPr>
            <w:pStyle w:val="11"/>
            <w:tabs>
              <w:tab w:val="right" w:leader="dot" w:pos="8296"/>
            </w:tabs>
            <w:rPr>
              <w:color w:val="000000" w:themeColor="text1"/>
            </w:rPr>
          </w:pPr>
          <w:r>
            <w:fldChar w:fldCharType="begin"/>
          </w:r>
          <w:r>
            <w:instrText xml:space="preserve"> HYPERLINK \l "_Toc150435296" </w:instrText>
          </w:r>
          <w:r>
            <w:fldChar w:fldCharType="separate"/>
          </w:r>
          <w:r>
            <w:rPr>
              <w:rStyle w:val="31"/>
              <w:color w:val="000000" w:themeColor="text1"/>
            </w:rPr>
            <w:t>垃圾管理方面</w:t>
          </w:r>
          <w:r>
            <w:rPr>
              <w:color w:val="000000" w:themeColor="text1"/>
            </w:rPr>
            <w:tab/>
          </w:r>
          <w:r>
            <w:rPr>
              <w:color w:val="000000" w:themeColor="text1"/>
            </w:rPr>
            <w:fldChar w:fldCharType="begin"/>
          </w:r>
          <w:r>
            <w:rPr>
              <w:color w:val="000000" w:themeColor="text1"/>
            </w:rPr>
            <w:instrText xml:space="preserve"> PAGEREF _Toc150435296 \h </w:instrText>
          </w:r>
          <w:r>
            <w:rPr>
              <w:color w:val="000000" w:themeColor="text1"/>
            </w:rPr>
            <w:fldChar w:fldCharType="separate"/>
          </w:r>
          <w:r>
            <w:rPr>
              <w:color w:val="000000" w:themeColor="text1"/>
            </w:rPr>
            <w:t>186</w:t>
          </w:r>
          <w:r>
            <w:rPr>
              <w:color w:val="000000" w:themeColor="text1"/>
            </w:rPr>
            <w:fldChar w:fldCharType="end"/>
          </w:r>
          <w:r>
            <w:rPr>
              <w:color w:val="000000" w:themeColor="text1"/>
            </w:rPr>
            <w:fldChar w:fldCharType="end"/>
          </w:r>
        </w:p>
        <w:p>
          <w:pPr>
            <w:pStyle w:val="11"/>
            <w:tabs>
              <w:tab w:val="right" w:leader="dot" w:pos="8296"/>
            </w:tabs>
            <w:rPr>
              <w:color w:val="000000" w:themeColor="text1"/>
            </w:rPr>
          </w:pPr>
          <w:r>
            <w:fldChar w:fldCharType="begin"/>
          </w:r>
          <w:r>
            <w:instrText xml:space="preserve"> HYPERLINK \l "_Toc150435297" </w:instrText>
          </w:r>
          <w:r>
            <w:fldChar w:fldCharType="separate"/>
          </w:r>
          <w:r>
            <w:rPr>
              <w:rStyle w:val="31"/>
              <w:color w:val="000000" w:themeColor="text1"/>
            </w:rPr>
            <w:t>设备设施监管方面</w:t>
          </w:r>
          <w:r>
            <w:rPr>
              <w:color w:val="000000" w:themeColor="text1"/>
            </w:rPr>
            <w:tab/>
          </w:r>
          <w:r>
            <w:rPr>
              <w:color w:val="000000" w:themeColor="text1"/>
            </w:rPr>
            <w:fldChar w:fldCharType="begin"/>
          </w:r>
          <w:r>
            <w:rPr>
              <w:color w:val="000000" w:themeColor="text1"/>
            </w:rPr>
            <w:instrText xml:space="preserve"> PAGEREF _Toc150435297 \h </w:instrText>
          </w:r>
          <w:r>
            <w:rPr>
              <w:color w:val="000000" w:themeColor="text1"/>
            </w:rPr>
            <w:fldChar w:fldCharType="separate"/>
          </w:r>
          <w:r>
            <w:rPr>
              <w:color w:val="000000" w:themeColor="text1"/>
            </w:rPr>
            <w:t>200</w:t>
          </w:r>
          <w:r>
            <w:rPr>
              <w:color w:val="000000" w:themeColor="text1"/>
            </w:rPr>
            <w:fldChar w:fldCharType="end"/>
          </w:r>
          <w:r>
            <w:rPr>
              <w:color w:val="000000" w:themeColor="text1"/>
            </w:rPr>
            <w:fldChar w:fldCharType="end"/>
          </w:r>
        </w:p>
        <w:p>
          <w:pPr>
            <w:pStyle w:val="11"/>
            <w:tabs>
              <w:tab w:val="right" w:leader="dot" w:pos="8296"/>
            </w:tabs>
            <w:rPr>
              <w:color w:val="000000" w:themeColor="text1"/>
            </w:rPr>
          </w:pPr>
          <w:r>
            <w:fldChar w:fldCharType="begin"/>
          </w:r>
          <w:r>
            <w:instrText xml:space="preserve"> HYPERLINK \l "_Toc150435298" </w:instrText>
          </w:r>
          <w:r>
            <w:fldChar w:fldCharType="separate"/>
          </w:r>
          <w:r>
            <w:rPr>
              <w:rStyle w:val="31"/>
              <w:color w:val="000000" w:themeColor="text1"/>
            </w:rPr>
            <w:t>日常监管方面</w:t>
          </w:r>
          <w:r>
            <w:rPr>
              <w:color w:val="000000" w:themeColor="text1"/>
            </w:rPr>
            <w:tab/>
          </w:r>
          <w:r>
            <w:rPr>
              <w:color w:val="000000" w:themeColor="text1"/>
            </w:rPr>
            <w:fldChar w:fldCharType="begin"/>
          </w:r>
          <w:r>
            <w:rPr>
              <w:color w:val="000000" w:themeColor="text1"/>
            </w:rPr>
            <w:instrText xml:space="preserve"> PAGEREF _Toc150435298 \h </w:instrText>
          </w:r>
          <w:r>
            <w:rPr>
              <w:color w:val="000000" w:themeColor="text1"/>
            </w:rPr>
            <w:fldChar w:fldCharType="separate"/>
          </w:r>
          <w:r>
            <w:rPr>
              <w:color w:val="000000" w:themeColor="text1"/>
            </w:rPr>
            <w:t>225</w:t>
          </w:r>
          <w:r>
            <w:rPr>
              <w:color w:val="000000" w:themeColor="text1"/>
            </w:rPr>
            <w:fldChar w:fldCharType="end"/>
          </w:r>
          <w:r>
            <w:rPr>
              <w:color w:val="000000" w:themeColor="text1"/>
            </w:rPr>
            <w:fldChar w:fldCharType="end"/>
          </w:r>
        </w:p>
        <w:p>
          <w:pPr>
            <w:pStyle w:val="11"/>
            <w:tabs>
              <w:tab w:val="right" w:leader="dot" w:pos="8296"/>
            </w:tabs>
            <w:rPr>
              <w:color w:val="000000" w:themeColor="text1"/>
            </w:rPr>
          </w:pPr>
          <w:r>
            <w:fldChar w:fldCharType="begin"/>
          </w:r>
          <w:r>
            <w:instrText xml:space="preserve"> HYPERLINK \l "_Toc150435299" </w:instrText>
          </w:r>
          <w:r>
            <w:fldChar w:fldCharType="separate"/>
          </w:r>
          <w:r>
            <w:rPr>
              <w:rStyle w:val="31"/>
              <w:color w:val="000000" w:themeColor="text1"/>
            </w:rPr>
            <w:t>安全监管方面</w:t>
          </w:r>
          <w:r>
            <w:rPr>
              <w:color w:val="000000" w:themeColor="text1"/>
            </w:rPr>
            <w:tab/>
          </w:r>
          <w:r>
            <w:rPr>
              <w:color w:val="000000" w:themeColor="text1"/>
            </w:rPr>
            <w:fldChar w:fldCharType="begin"/>
          </w:r>
          <w:r>
            <w:rPr>
              <w:color w:val="000000" w:themeColor="text1"/>
            </w:rPr>
            <w:instrText xml:space="preserve"> PAGEREF _Toc150435299 \h </w:instrText>
          </w:r>
          <w:r>
            <w:rPr>
              <w:color w:val="000000" w:themeColor="text1"/>
            </w:rPr>
            <w:fldChar w:fldCharType="separate"/>
          </w:r>
          <w:r>
            <w:rPr>
              <w:color w:val="000000" w:themeColor="text1"/>
            </w:rPr>
            <w:t>234</w:t>
          </w:r>
          <w:r>
            <w:rPr>
              <w:color w:val="000000" w:themeColor="text1"/>
            </w:rPr>
            <w:fldChar w:fldCharType="end"/>
          </w:r>
          <w:r>
            <w:rPr>
              <w:color w:val="000000" w:themeColor="text1"/>
            </w:rPr>
            <w:fldChar w:fldCharType="end"/>
          </w:r>
        </w:p>
        <w:p>
          <w:pPr>
            <w:pStyle w:val="11"/>
            <w:tabs>
              <w:tab w:val="right" w:leader="dot" w:pos="8296"/>
            </w:tabs>
            <w:rPr>
              <w:color w:val="000000" w:themeColor="text1"/>
            </w:rPr>
          </w:pPr>
          <w:r>
            <w:fldChar w:fldCharType="begin"/>
          </w:r>
          <w:r>
            <w:instrText xml:space="preserve"> HYPERLINK \l "_Toc150435300" </w:instrText>
          </w:r>
          <w:r>
            <w:fldChar w:fldCharType="separate"/>
          </w:r>
          <w:r>
            <w:rPr>
              <w:rStyle w:val="31"/>
              <w:color w:val="000000" w:themeColor="text1"/>
            </w:rPr>
            <w:t>消防救援方面</w:t>
          </w:r>
          <w:r>
            <w:rPr>
              <w:color w:val="000000" w:themeColor="text1"/>
            </w:rPr>
            <w:tab/>
          </w:r>
          <w:r>
            <w:rPr>
              <w:color w:val="000000" w:themeColor="text1"/>
            </w:rPr>
            <w:fldChar w:fldCharType="begin"/>
          </w:r>
          <w:r>
            <w:rPr>
              <w:color w:val="000000" w:themeColor="text1"/>
            </w:rPr>
            <w:instrText xml:space="preserve"> PAGEREF _Toc150435300 \h </w:instrText>
          </w:r>
          <w:r>
            <w:rPr>
              <w:color w:val="000000" w:themeColor="text1"/>
            </w:rPr>
            <w:fldChar w:fldCharType="separate"/>
          </w:r>
          <w:r>
            <w:rPr>
              <w:color w:val="000000" w:themeColor="text1"/>
            </w:rPr>
            <w:t>246</w:t>
          </w:r>
          <w:r>
            <w:rPr>
              <w:color w:val="000000" w:themeColor="text1"/>
            </w:rPr>
            <w:fldChar w:fldCharType="end"/>
          </w:r>
          <w:r>
            <w:rPr>
              <w:color w:val="000000" w:themeColor="text1"/>
            </w:rPr>
            <w:fldChar w:fldCharType="end"/>
          </w:r>
        </w:p>
        <w:p>
          <w:pPr>
            <w:pStyle w:val="11"/>
            <w:tabs>
              <w:tab w:val="right" w:leader="dot" w:pos="8296"/>
            </w:tabs>
            <w:rPr>
              <w:color w:val="000000" w:themeColor="text1"/>
            </w:rPr>
          </w:pPr>
          <w:r>
            <w:fldChar w:fldCharType="begin"/>
          </w:r>
          <w:r>
            <w:instrText xml:space="preserve"> HYPERLINK \l "_Toc150435301" </w:instrText>
          </w:r>
          <w:r>
            <w:fldChar w:fldCharType="separate"/>
          </w:r>
          <w:r>
            <w:rPr>
              <w:rStyle w:val="31"/>
              <w:color w:val="000000" w:themeColor="text1"/>
            </w:rPr>
            <w:t>停车管理方面</w:t>
          </w:r>
          <w:r>
            <w:rPr>
              <w:color w:val="000000" w:themeColor="text1"/>
            </w:rPr>
            <w:tab/>
          </w:r>
          <w:r>
            <w:rPr>
              <w:color w:val="000000" w:themeColor="text1"/>
            </w:rPr>
            <w:fldChar w:fldCharType="begin"/>
          </w:r>
          <w:r>
            <w:rPr>
              <w:color w:val="000000" w:themeColor="text1"/>
            </w:rPr>
            <w:instrText xml:space="preserve"> PAGEREF _Toc150435301 \h </w:instrText>
          </w:r>
          <w:r>
            <w:rPr>
              <w:color w:val="000000" w:themeColor="text1"/>
            </w:rPr>
            <w:fldChar w:fldCharType="separate"/>
          </w:r>
          <w:r>
            <w:rPr>
              <w:color w:val="000000" w:themeColor="text1"/>
            </w:rPr>
            <w:t>263</w:t>
          </w:r>
          <w:r>
            <w:rPr>
              <w:color w:val="000000" w:themeColor="text1"/>
            </w:rPr>
            <w:fldChar w:fldCharType="end"/>
          </w:r>
          <w:r>
            <w:rPr>
              <w:color w:val="000000" w:themeColor="text1"/>
            </w:rPr>
            <w:fldChar w:fldCharType="end"/>
          </w:r>
        </w:p>
        <w:p>
          <w:pPr>
            <w:pStyle w:val="21"/>
            <w:tabs>
              <w:tab w:val="right" w:leader="dot" w:pos="8296"/>
            </w:tabs>
            <w:rPr>
              <w:color w:val="000000" w:themeColor="text1"/>
              <w:szCs w:val="22"/>
            </w:rPr>
          </w:pPr>
          <w:r>
            <w:fldChar w:fldCharType="begin"/>
          </w:r>
          <w:r>
            <w:instrText xml:space="preserve"> HYPERLINK \l "_Toc150435302" </w:instrText>
          </w:r>
          <w:r>
            <w:fldChar w:fldCharType="separate"/>
          </w:r>
          <w:r>
            <w:rPr>
              <w:rStyle w:val="31"/>
              <w:color w:val="000000" w:themeColor="text1"/>
            </w:rPr>
            <w:t>北京市物业管理场景综合检查单</w:t>
          </w:r>
          <w:r>
            <w:rPr>
              <w:color w:val="000000" w:themeColor="text1"/>
            </w:rPr>
            <w:tab/>
          </w:r>
          <w:r>
            <w:rPr>
              <w:color w:val="000000" w:themeColor="text1"/>
            </w:rPr>
            <w:fldChar w:fldCharType="begin"/>
          </w:r>
          <w:r>
            <w:rPr>
              <w:color w:val="000000" w:themeColor="text1"/>
            </w:rPr>
            <w:instrText xml:space="preserve"> PAGEREF _Toc150435302 \h </w:instrText>
          </w:r>
          <w:r>
            <w:rPr>
              <w:color w:val="000000" w:themeColor="text1"/>
            </w:rPr>
            <w:fldChar w:fldCharType="separate"/>
          </w:r>
          <w:r>
            <w:rPr>
              <w:color w:val="000000" w:themeColor="text1"/>
            </w:rPr>
            <w:t>268</w:t>
          </w:r>
          <w:r>
            <w:rPr>
              <w:color w:val="000000" w:themeColor="text1"/>
            </w:rPr>
            <w:fldChar w:fldCharType="end"/>
          </w:r>
          <w:r>
            <w:rPr>
              <w:color w:val="000000" w:themeColor="text1"/>
            </w:rPr>
            <w:fldChar w:fldCharType="end"/>
          </w:r>
        </w:p>
        <w:p>
          <w:pPr>
            <w:pStyle w:val="11"/>
            <w:tabs>
              <w:tab w:val="right" w:leader="dot" w:pos="8296"/>
            </w:tabs>
            <w:rPr>
              <w:color w:val="000000" w:themeColor="text1"/>
            </w:rPr>
          </w:pPr>
          <w:r>
            <w:fldChar w:fldCharType="begin"/>
          </w:r>
          <w:r>
            <w:instrText xml:space="preserve"> HYPERLINK \l "_Toc150435303" </w:instrText>
          </w:r>
          <w:r>
            <w:fldChar w:fldCharType="separate"/>
          </w:r>
          <w:r>
            <w:rPr>
              <w:rStyle w:val="31"/>
              <w:color w:val="000000" w:themeColor="text1"/>
            </w:rPr>
            <w:t>物业管理方面</w:t>
          </w:r>
          <w:r>
            <w:rPr>
              <w:color w:val="000000" w:themeColor="text1"/>
            </w:rPr>
            <w:tab/>
          </w:r>
          <w:r>
            <w:rPr>
              <w:color w:val="000000" w:themeColor="text1"/>
            </w:rPr>
            <w:fldChar w:fldCharType="begin"/>
          </w:r>
          <w:r>
            <w:rPr>
              <w:color w:val="000000" w:themeColor="text1"/>
            </w:rPr>
            <w:instrText xml:space="preserve"> PAGEREF _Toc150435303 \h </w:instrText>
          </w:r>
          <w:r>
            <w:rPr>
              <w:color w:val="000000" w:themeColor="text1"/>
            </w:rPr>
            <w:fldChar w:fldCharType="separate"/>
          </w:r>
          <w:r>
            <w:rPr>
              <w:color w:val="000000" w:themeColor="text1"/>
            </w:rPr>
            <w:t>270</w:t>
          </w:r>
          <w:r>
            <w:rPr>
              <w:color w:val="000000" w:themeColor="text1"/>
            </w:rPr>
            <w:fldChar w:fldCharType="end"/>
          </w:r>
          <w:r>
            <w:rPr>
              <w:color w:val="000000" w:themeColor="text1"/>
            </w:rPr>
            <w:fldChar w:fldCharType="end"/>
          </w:r>
        </w:p>
        <w:p>
          <w:pPr>
            <w:pStyle w:val="11"/>
            <w:tabs>
              <w:tab w:val="right" w:leader="dot" w:pos="8296"/>
            </w:tabs>
            <w:rPr>
              <w:color w:val="000000" w:themeColor="text1"/>
            </w:rPr>
          </w:pPr>
          <w:r>
            <w:fldChar w:fldCharType="begin"/>
          </w:r>
          <w:r>
            <w:instrText xml:space="preserve"> HYPERLINK \l "_Toc150435304" </w:instrText>
          </w:r>
          <w:r>
            <w:fldChar w:fldCharType="separate"/>
          </w:r>
          <w:r>
            <w:rPr>
              <w:rStyle w:val="31"/>
              <w:color w:val="000000" w:themeColor="text1"/>
            </w:rPr>
            <w:t>资金使用方面</w:t>
          </w:r>
          <w:r>
            <w:rPr>
              <w:color w:val="000000" w:themeColor="text1"/>
            </w:rPr>
            <w:tab/>
          </w:r>
          <w:r>
            <w:rPr>
              <w:color w:val="000000" w:themeColor="text1"/>
            </w:rPr>
            <w:fldChar w:fldCharType="begin"/>
          </w:r>
          <w:r>
            <w:rPr>
              <w:color w:val="000000" w:themeColor="text1"/>
            </w:rPr>
            <w:instrText xml:space="preserve"> PAGEREF _Toc150435304 \h </w:instrText>
          </w:r>
          <w:r>
            <w:rPr>
              <w:color w:val="000000" w:themeColor="text1"/>
            </w:rPr>
            <w:fldChar w:fldCharType="separate"/>
          </w:r>
          <w:r>
            <w:rPr>
              <w:color w:val="000000" w:themeColor="text1"/>
            </w:rPr>
            <w:t>280</w:t>
          </w:r>
          <w:r>
            <w:rPr>
              <w:color w:val="000000" w:themeColor="text1"/>
            </w:rPr>
            <w:fldChar w:fldCharType="end"/>
          </w:r>
          <w:r>
            <w:rPr>
              <w:color w:val="000000" w:themeColor="text1"/>
            </w:rPr>
            <w:fldChar w:fldCharType="end"/>
          </w:r>
        </w:p>
        <w:p>
          <w:pPr>
            <w:pStyle w:val="11"/>
            <w:tabs>
              <w:tab w:val="right" w:leader="dot" w:pos="8296"/>
            </w:tabs>
            <w:rPr>
              <w:color w:val="000000" w:themeColor="text1"/>
            </w:rPr>
          </w:pPr>
          <w:r>
            <w:fldChar w:fldCharType="begin"/>
          </w:r>
          <w:r>
            <w:instrText xml:space="preserve"> HYPERLINK \l "_Toc150435305" </w:instrText>
          </w:r>
          <w:r>
            <w:fldChar w:fldCharType="separate"/>
          </w:r>
          <w:r>
            <w:rPr>
              <w:rStyle w:val="31"/>
              <w:color w:val="000000" w:themeColor="text1"/>
            </w:rPr>
            <w:t>安全管理方面</w:t>
          </w:r>
          <w:r>
            <w:rPr>
              <w:color w:val="000000" w:themeColor="text1"/>
            </w:rPr>
            <w:tab/>
          </w:r>
          <w:r>
            <w:rPr>
              <w:color w:val="000000" w:themeColor="text1"/>
            </w:rPr>
            <w:fldChar w:fldCharType="begin"/>
          </w:r>
          <w:r>
            <w:rPr>
              <w:color w:val="000000" w:themeColor="text1"/>
            </w:rPr>
            <w:instrText xml:space="preserve"> PAGEREF _Toc150435305 \h </w:instrText>
          </w:r>
          <w:r>
            <w:rPr>
              <w:color w:val="000000" w:themeColor="text1"/>
            </w:rPr>
            <w:fldChar w:fldCharType="separate"/>
          </w:r>
          <w:r>
            <w:rPr>
              <w:color w:val="000000" w:themeColor="text1"/>
            </w:rPr>
            <w:t>281</w:t>
          </w:r>
          <w:r>
            <w:rPr>
              <w:color w:val="000000" w:themeColor="text1"/>
            </w:rPr>
            <w:fldChar w:fldCharType="end"/>
          </w:r>
          <w:r>
            <w:rPr>
              <w:color w:val="000000" w:themeColor="text1"/>
            </w:rPr>
            <w:fldChar w:fldCharType="end"/>
          </w:r>
        </w:p>
        <w:p>
          <w:pPr>
            <w:pStyle w:val="11"/>
            <w:tabs>
              <w:tab w:val="right" w:leader="dot" w:pos="8296"/>
            </w:tabs>
            <w:rPr>
              <w:color w:val="000000" w:themeColor="text1"/>
            </w:rPr>
          </w:pPr>
          <w:r>
            <w:fldChar w:fldCharType="begin"/>
          </w:r>
          <w:r>
            <w:instrText xml:space="preserve"> HYPERLINK \l "_Toc150435306" </w:instrText>
          </w:r>
          <w:r>
            <w:fldChar w:fldCharType="separate"/>
          </w:r>
          <w:r>
            <w:rPr>
              <w:rStyle w:val="31"/>
              <w:color w:val="000000" w:themeColor="text1"/>
            </w:rPr>
            <w:t>地下空间管理方面</w:t>
          </w:r>
          <w:r>
            <w:rPr>
              <w:color w:val="000000" w:themeColor="text1"/>
            </w:rPr>
            <w:tab/>
          </w:r>
          <w:r>
            <w:rPr>
              <w:color w:val="000000" w:themeColor="text1"/>
            </w:rPr>
            <w:fldChar w:fldCharType="begin"/>
          </w:r>
          <w:r>
            <w:rPr>
              <w:color w:val="000000" w:themeColor="text1"/>
            </w:rPr>
            <w:instrText xml:space="preserve"> PAGEREF _Toc150435306 \h </w:instrText>
          </w:r>
          <w:r>
            <w:rPr>
              <w:color w:val="000000" w:themeColor="text1"/>
            </w:rPr>
            <w:fldChar w:fldCharType="separate"/>
          </w:r>
          <w:r>
            <w:rPr>
              <w:color w:val="000000" w:themeColor="text1"/>
            </w:rPr>
            <w:t>283</w:t>
          </w:r>
          <w:r>
            <w:rPr>
              <w:color w:val="000000" w:themeColor="text1"/>
            </w:rPr>
            <w:fldChar w:fldCharType="end"/>
          </w:r>
          <w:r>
            <w:rPr>
              <w:color w:val="000000" w:themeColor="text1"/>
            </w:rPr>
            <w:fldChar w:fldCharType="end"/>
          </w:r>
        </w:p>
        <w:p>
          <w:pPr>
            <w:pStyle w:val="11"/>
            <w:tabs>
              <w:tab w:val="right" w:leader="dot" w:pos="8296"/>
            </w:tabs>
            <w:rPr>
              <w:color w:val="000000" w:themeColor="text1"/>
            </w:rPr>
          </w:pPr>
          <w:r>
            <w:fldChar w:fldCharType="begin"/>
          </w:r>
          <w:r>
            <w:instrText xml:space="preserve"> HYPERLINK \l "_Toc150435307" </w:instrText>
          </w:r>
          <w:r>
            <w:fldChar w:fldCharType="separate"/>
          </w:r>
          <w:r>
            <w:rPr>
              <w:rStyle w:val="31"/>
              <w:color w:val="000000" w:themeColor="text1"/>
            </w:rPr>
            <w:t>停车管理方面</w:t>
          </w:r>
          <w:r>
            <w:rPr>
              <w:color w:val="000000" w:themeColor="text1"/>
            </w:rPr>
            <w:tab/>
          </w:r>
          <w:r>
            <w:rPr>
              <w:color w:val="000000" w:themeColor="text1"/>
            </w:rPr>
            <w:fldChar w:fldCharType="begin"/>
          </w:r>
          <w:r>
            <w:rPr>
              <w:color w:val="000000" w:themeColor="text1"/>
            </w:rPr>
            <w:instrText xml:space="preserve"> PAGEREF _Toc150435307 \h </w:instrText>
          </w:r>
          <w:r>
            <w:rPr>
              <w:color w:val="000000" w:themeColor="text1"/>
            </w:rPr>
            <w:fldChar w:fldCharType="separate"/>
          </w:r>
          <w:r>
            <w:rPr>
              <w:color w:val="000000" w:themeColor="text1"/>
            </w:rPr>
            <w:t>287</w:t>
          </w:r>
          <w:r>
            <w:rPr>
              <w:color w:val="000000" w:themeColor="text1"/>
            </w:rPr>
            <w:fldChar w:fldCharType="end"/>
          </w:r>
          <w:r>
            <w:rPr>
              <w:color w:val="000000" w:themeColor="text1"/>
            </w:rPr>
            <w:fldChar w:fldCharType="end"/>
          </w:r>
        </w:p>
        <w:p>
          <w:pPr>
            <w:pStyle w:val="11"/>
            <w:tabs>
              <w:tab w:val="right" w:leader="dot" w:pos="8296"/>
            </w:tabs>
            <w:rPr>
              <w:color w:val="000000" w:themeColor="text1"/>
            </w:rPr>
          </w:pPr>
          <w:r>
            <w:fldChar w:fldCharType="begin"/>
          </w:r>
          <w:r>
            <w:instrText xml:space="preserve"> HYPERLINK \l "_Toc150435308" </w:instrText>
          </w:r>
          <w:r>
            <w:fldChar w:fldCharType="separate"/>
          </w:r>
          <w:r>
            <w:rPr>
              <w:rStyle w:val="31"/>
              <w:color w:val="000000" w:themeColor="text1"/>
            </w:rPr>
            <w:t>用水管理方面</w:t>
          </w:r>
          <w:r>
            <w:rPr>
              <w:color w:val="000000" w:themeColor="text1"/>
            </w:rPr>
            <w:tab/>
          </w:r>
          <w:r>
            <w:rPr>
              <w:color w:val="000000" w:themeColor="text1"/>
            </w:rPr>
            <w:fldChar w:fldCharType="begin"/>
          </w:r>
          <w:r>
            <w:rPr>
              <w:color w:val="000000" w:themeColor="text1"/>
            </w:rPr>
            <w:instrText xml:space="preserve"> PAGEREF _Toc150435308 \h </w:instrText>
          </w:r>
          <w:r>
            <w:rPr>
              <w:color w:val="000000" w:themeColor="text1"/>
            </w:rPr>
            <w:fldChar w:fldCharType="separate"/>
          </w:r>
          <w:r>
            <w:rPr>
              <w:color w:val="000000" w:themeColor="text1"/>
            </w:rPr>
            <w:t>288</w:t>
          </w:r>
          <w:r>
            <w:rPr>
              <w:color w:val="000000" w:themeColor="text1"/>
            </w:rPr>
            <w:fldChar w:fldCharType="end"/>
          </w:r>
          <w:r>
            <w:rPr>
              <w:color w:val="000000" w:themeColor="text1"/>
            </w:rPr>
            <w:fldChar w:fldCharType="end"/>
          </w:r>
        </w:p>
        <w:p>
          <w:pPr>
            <w:pStyle w:val="11"/>
            <w:tabs>
              <w:tab w:val="right" w:leader="dot" w:pos="8296"/>
            </w:tabs>
            <w:rPr>
              <w:color w:val="000000" w:themeColor="text1"/>
            </w:rPr>
          </w:pPr>
          <w:r>
            <w:fldChar w:fldCharType="begin"/>
          </w:r>
          <w:r>
            <w:instrText xml:space="preserve"> HYPERLINK \l "_Toc150435309" </w:instrText>
          </w:r>
          <w:r>
            <w:fldChar w:fldCharType="separate"/>
          </w:r>
          <w:r>
            <w:rPr>
              <w:rStyle w:val="31"/>
              <w:color w:val="000000" w:themeColor="text1"/>
            </w:rPr>
            <w:t>消防管理方面</w:t>
          </w:r>
          <w:r>
            <w:rPr>
              <w:color w:val="000000" w:themeColor="text1"/>
            </w:rPr>
            <w:tab/>
          </w:r>
          <w:r>
            <w:rPr>
              <w:color w:val="000000" w:themeColor="text1"/>
            </w:rPr>
            <w:fldChar w:fldCharType="begin"/>
          </w:r>
          <w:r>
            <w:rPr>
              <w:color w:val="000000" w:themeColor="text1"/>
            </w:rPr>
            <w:instrText xml:space="preserve"> PAGEREF _Toc150435309 \h </w:instrText>
          </w:r>
          <w:r>
            <w:rPr>
              <w:color w:val="000000" w:themeColor="text1"/>
            </w:rPr>
            <w:fldChar w:fldCharType="separate"/>
          </w:r>
          <w:r>
            <w:rPr>
              <w:color w:val="000000" w:themeColor="text1"/>
            </w:rPr>
            <w:t>298</w:t>
          </w:r>
          <w:r>
            <w:rPr>
              <w:color w:val="000000" w:themeColor="text1"/>
            </w:rPr>
            <w:fldChar w:fldCharType="end"/>
          </w:r>
          <w:r>
            <w:rPr>
              <w:color w:val="000000" w:themeColor="text1"/>
            </w:rPr>
            <w:fldChar w:fldCharType="end"/>
          </w:r>
        </w:p>
        <w:p>
          <w:pPr>
            <w:pStyle w:val="11"/>
            <w:tabs>
              <w:tab w:val="right" w:leader="dot" w:pos="8296"/>
            </w:tabs>
            <w:rPr>
              <w:color w:val="000000" w:themeColor="text1"/>
            </w:rPr>
          </w:pPr>
          <w:r>
            <w:fldChar w:fldCharType="begin"/>
          </w:r>
          <w:r>
            <w:instrText xml:space="preserve"> HYPERLINK \l "_Toc150435310" </w:instrText>
          </w:r>
          <w:r>
            <w:fldChar w:fldCharType="separate"/>
          </w:r>
          <w:r>
            <w:rPr>
              <w:rStyle w:val="31"/>
              <w:color w:val="000000" w:themeColor="text1"/>
            </w:rPr>
            <w:t>绿化养护方面</w:t>
          </w:r>
          <w:r>
            <w:rPr>
              <w:color w:val="000000" w:themeColor="text1"/>
            </w:rPr>
            <w:tab/>
          </w:r>
          <w:r>
            <w:rPr>
              <w:color w:val="000000" w:themeColor="text1"/>
            </w:rPr>
            <w:fldChar w:fldCharType="begin"/>
          </w:r>
          <w:r>
            <w:rPr>
              <w:color w:val="000000" w:themeColor="text1"/>
            </w:rPr>
            <w:instrText xml:space="preserve"> PAGEREF _Toc150435310 \h </w:instrText>
          </w:r>
          <w:r>
            <w:rPr>
              <w:color w:val="000000" w:themeColor="text1"/>
            </w:rPr>
            <w:fldChar w:fldCharType="separate"/>
          </w:r>
          <w:r>
            <w:rPr>
              <w:color w:val="000000" w:themeColor="text1"/>
            </w:rPr>
            <w:t>308</w:t>
          </w:r>
          <w:r>
            <w:rPr>
              <w:color w:val="000000" w:themeColor="text1"/>
            </w:rPr>
            <w:fldChar w:fldCharType="end"/>
          </w:r>
          <w:r>
            <w:rPr>
              <w:color w:val="000000" w:themeColor="text1"/>
            </w:rPr>
            <w:fldChar w:fldCharType="end"/>
          </w:r>
        </w:p>
        <w:p>
          <w:pPr>
            <w:pStyle w:val="11"/>
            <w:tabs>
              <w:tab w:val="right" w:leader="dot" w:pos="8296"/>
            </w:tabs>
            <w:rPr>
              <w:color w:val="000000" w:themeColor="text1"/>
            </w:rPr>
          </w:pPr>
          <w:r>
            <w:fldChar w:fldCharType="begin"/>
          </w:r>
          <w:r>
            <w:instrText xml:space="preserve"> HYPERLINK \l "_Toc150435311" </w:instrText>
          </w:r>
          <w:r>
            <w:fldChar w:fldCharType="separate"/>
          </w:r>
          <w:r>
            <w:rPr>
              <w:rStyle w:val="31"/>
              <w:color w:val="000000" w:themeColor="text1"/>
            </w:rPr>
            <w:t>生活垃圾分类方面</w:t>
          </w:r>
          <w:r>
            <w:rPr>
              <w:color w:val="000000" w:themeColor="text1"/>
            </w:rPr>
            <w:tab/>
          </w:r>
          <w:r>
            <w:rPr>
              <w:color w:val="000000" w:themeColor="text1"/>
            </w:rPr>
            <w:fldChar w:fldCharType="begin"/>
          </w:r>
          <w:r>
            <w:rPr>
              <w:color w:val="000000" w:themeColor="text1"/>
            </w:rPr>
            <w:instrText xml:space="preserve"> PAGEREF _Toc150435311 \h </w:instrText>
          </w:r>
          <w:r>
            <w:rPr>
              <w:color w:val="000000" w:themeColor="text1"/>
            </w:rPr>
            <w:fldChar w:fldCharType="separate"/>
          </w:r>
          <w:r>
            <w:rPr>
              <w:color w:val="000000" w:themeColor="text1"/>
            </w:rPr>
            <w:t>310</w:t>
          </w:r>
          <w:r>
            <w:rPr>
              <w:color w:val="000000" w:themeColor="text1"/>
            </w:rPr>
            <w:fldChar w:fldCharType="end"/>
          </w:r>
          <w:r>
            <w:rPr>
              <w:color w:val="000000" w:themeColor="text1"/>
            </w:rPr>
            <w:fldChar w:fldCharType="end"/>
          </w:r>
        </w:p>
        <w:p>
          <w:pPr>
            <w:pStyle w:val="11"/>
            <w:tabs>
              <w:tab w:val="right" w:leader="dot" w:pos="8296"/>
            </w:tabs>
            <w:rPr>
              <w:color w:val="000000" w:themeColor="text1"/>
            </w:rPr>
          </w:pPr>
          <w:r>
            <w:fldChar w:fldCharType="begin"/>
          </w:r>
          <w:r>
            <w:instrText xml:space="preserve"> HYPERLINK \l "_Toc150435312" </w:instrText>
          </w:r>
          <w:r>
            <w:fldChar w:fldCharType="separate"/>
          </w:r>
          <w:r>
            <w:rPr>
              <w:rStyle w:val="31"/>
              <w:color w:val="000000" w:themeColor="text1"/>
            </w:rPr>
            <w:t>电梯安全使用方面</w:t>
          </w:r>
          <w:r>
            <w:rPr>
              <w:color w:val="000000" w:themeColor="text1"/>
            </w:rPr>
            <w:tab/>
          </w:r>
          <w:r>
            <w:rPr>
              <w:color w:val="000000" w:themeColor="text1"/>
            </w:rPr>
            <w:fldChar w:fldCharType="begin"/>
          </w:r>
          <w:r>
            <w:rPr>
              <w:color w:val="000000" w:themeColor="text1"/>
            </w:rPr>
            <w:instrText xml:space="preserve"> PAGEREF _Toc150435312 \h </w:instrText>
          </w:r>
          <w:r>
            <w:rPr>
              <w:color w:val="000000" w:themeColor="text1"/>
            </w:rPr>
            <w:fldChar w:fldCharType="separate"/>
          </w:r>
          <w:r>
            <w:rPr>
              <w:color w:val="000000" w:themeColor="text1"/>
            </w:rPr>
            <w:t>311</w:t>
          </w:r>
          <w:r>
            <w:rPr>
              <w:color w:val="000000" w:themeColor="text1"/>
            </w:rPr>
            <w:fldChar w:fldCharType="end"/>
          </w:r>
          <w:r>
            <w:rPr>
              <w:color w:val="000000" w:themeColor="text1"/>
            </w:rPr>
            <w:fldChar w:fldCharType="end"/>
          </w:r>
        </w:p>
        <w:p>
          <w:pPr>
            <w:pStyle w:val="11"/>
            <w:tabs>
              <w:tab w:val="right" w:leader="dot" w:pos="8296"/>
            </w:tabs>
            <w:rPr>
              <w:color w:val="000000" w:themeColor="text1"/>
            </w:rPr>
          </w:pPr>
          <w:r>
            <w:fldChar w:fldCharType="begin"/>
          </w:r>
          <w:r>
            <w:instrText xml:space="preserve"> HYPERLINK \l "_Toc150435313" </w:instrText>
          </w:r>
          <w:r>
            <w:fldChar w:fldCharType="separate"/>
          </w:r>
          <w:r>
            <w:rPr>
              <w:rStyle w:val="31"/>
              <w:color w:val="000000" w:themeColor="text1"/>
            </w:rPr>
            <w:t>秩序维护方面</w:t>
          </w:r>
          <w:r>
            <w:rPr>
              <w:color w:val="000000" w:themeColor="text1"/>
            </w:rPr>
            <w:tab/>
          </w:r>
          <w:r>
            <w:rPr>
              <w:color w:val="000000" w:themeColor="text1"/>
            </w:rPr>
            <w:fldChar w:fldCharType="begin"/>
          </w:r>
          <w:r>
            <w:rPr>
              <w:color w:val="000000" w:themeColor="text1"/>
            </w:rPr>
            <w:instrText xml:space="preserve"> PAGEREF _Toc150435313 \h </w:instrText>
          </w:r>
          <w:r>
            <w:rPr>
              <w:color w:val="000000" w:themeColor="text1"/>
            </w:rPr>
            <w:fldChar w:fldCharType="separate"/>
          </w:r>
          <w:r>
            <w:rPr>
              <w:color w:val="000000" w:themeColor="text1"/>
            </w:rPr>
            <w:t>318</w:t>
          </w:r>
          <w:r>
            <w:rPr>
              <w:color w:val="000000" w:themeColor="text1"/>
            </w:rPr>
            <w:fldChar w:fldCharType="end"/>
          </w:r>
          <w:r>
            <w:rPr>
              <w:color w:val="000000" w:themeColor="text1"/>
            </w:rPr>
            <w:fldChar w:fldCharType="end"/>
          </w:r>
        </w:p>
        <w:p>
          <w:pPr>
            <w:pStyle w:val="21"/>
            <w:tabs>
              <w:tab w:val="right" w:leader="dot" w:pos="8296"/>
            </w:tabs>
            <w:snapToGrid w:val="0"/>
            <w:rPr>
              <w:color w:val="000000" w:themeColor="text1"/>
              <w:sz w:val="24"/>
            </w:rPr>
          </w:pPr>
          <w:r>
            <w:rPr>
              <w:b/>
              <w:bCs/>
              <w:color w:val="000000" w:themeColor="text1"/>
              <w:sz w:val="24"/>
              <w:lang w:val="zh-CN"/>
            </w:rPr>
            <w:fldChar w:fldCharType="end"/>
          </w:r>
        </w:p>
      </w:sdtContent>
    </w:sdt>
    <w:p>
      <w:pPr>
        <w:snapToGrid w:val="0"/>
        <w:rPr>
          <w:color w:val="000000" w:themeColor="text1"/>
          <w:sz w:val="24"/>
        </w:rPr>
      </w:pPr>
    </w:p>
    <w:p>
      <w:pPr>
        <w:widowControl/>
        <w:snapToGrid w:val="0"/>
        <w:jc w:val="left"/>
        <w:rPr>
          <w:rFonts w:ascii="仿宋_GB2312" w:eastAsia="仿宋_GB2312"/>
          <w:b/>
          <w:color w:val="000000" w:themeColor="text1"/>
          <w:kern w:val="44"/>
          <w:sz w:val="44"/>
        </w:rPr>
      </w:pPr>
    </w:p>
    <w:p>
      <w:pPr>
        <w:pStyle w:val="47"/>
        <w:snapToGrid w:val="0"/>
        <w:spacing w:before="156"/>
        <w:rPr>
          <w:rFonts w:ascii="仿宋_GB2312" w:eastAsia="仿宋_GB2312"/>
          <w:color w:val="000000" w:themeColor="text1"/>
        </w:rPr>
      </w:pPr>
    </w:p>
    <w:p>
      <w:pPr>
        <w:keepNext/>
        <w:keepLines/>
        <w:snapToGrid w:val="0"/>
        <w:spacing w:before="340" w:after="330" w:line="480" w:lineRule="auto"/>
        <w:jc w:val="center"/>
        <w:rPr>
          <w:rFonts w:ascii="仿宋_GB2312" w:hAnsi="Calibri" w:eastAsia="仿宋_GB2312" w:cs="Times New Roman"/>
          <w:b/>
          <w:color w:val="000000" w:themeColor="text1"/>
          <w:spacing w:val="20"/>
          <w:kern w:val="44"/>
          <w:sz w:val="52"/>
          <w:szCs w:val="52"/>
        </w:rPr>
      </w:pPr>
      <w:r>
        <w:rPr>
          <w:rFonts w:ascii="仿宋_GB2312" w:hAnsi="Calibri" w:eastAsia="仿宋_GB2312" w:cs="Times New Roman"/>
          <w:b/>
          <w:color w:val="000000" w:themeColor="text1"/>
          <w:spacing w:val="20"/>
          <w:kern w:val="44"/>
          <w:sz w:val="52"/>
          <w:szCs w:val="52"/>
        </w:rPr>
        <w:br w:type="column"/>
      </w:r>
    </w:p>
    <w:p>
      <w:pPr>
        <w:keepNext/>
        <w:keepLines/>
        <w:snapToGrid w:val="0"/>
        <w:spacing w:before="340" w:after="330" w:line="720" w:lineRule="auto"/>
        <w:jc w:val="center"/>
        <w:rPr>
          <w:rFonts w:ascii="仿宋_GB2312" w:hAnsi="Calibri" w:eastAsia="仿宋_GB2312" w:cs="Times New Roman"/>
          <w:b/>
          <w:color w:val="000000" w:themeColor="text1"/>
          <w:spacing w:val="20"/>
          <w:kern w:val="44"/>
          <w:sz w:val="52"/>
          <w:szCs w:val="52"/>
        </w:rPr>
        <w:sectPr>
          <w:footerReference r:id="rId8" w:type="default"/>
          <w:pgSz w:w="11906" w:h="16838"/>
          <w:pgMar w:top="1440" w:right="1800" w:bottom="1440" w:left="1800" w:header="851" w:footer="850" w:gutter="0"/>
          <w:pgBorders>
            <w:top w:val="none" w:sz="0" w:space="0"/>
            <w:left w:val="none" w:sz="0" w:space="0"/>
            <w:bottom w:val="none" w:sz="0" w:space="0"/>
            <w:right w:val="none" w:sz="0" w:space="0"/>
          </w:pgBorders>
          <w:pgNumType w:start="1"/>
          <w:cols w:space="425" w:num="1"/>
          <w:docGrid w:type="lines" w:linePitch="312" w:charSpace="0"/>
        </w:sectPr>
      </w:pPr>
    </w:p>
    <w:p>
      <w:pPr>
        <w:pStyle w:val="47"/>
        <w:rPr>
          <w:color w:val="000000" w:themeColor="text1"/>
        </w:rPr>
      </w:pPr>
    </w:p>
    <w:p>
      <w:pPr>
        <w:pStyle w:val="47"/>
        <w:rPr>
          <w:color w:val="000000" w:themeColor="text1"/>
        </w:rPr>
      </w:pPr>
    </w:p>
    <w:p>
      <w:pPr>
        <w:pStyle w:val="47"/>
        <w:rPr>
          <w:color w:val="000000" w:themeColor="text1"/>
        </w:rPr>
      </w:pPr>
    </w:p>
    <w:p>
      <w:pPr>
        <w:pStyle w:val="47"/>
        <w:rPr>
          <w:color w:val="000000" w:themeColor="text1"/>
        </w:rPr>
      </w:pPr>
    </w:p>
    <w:p>
      <w:pPr>
        <w:pStyle w:val="47"/>
        <w:rPr>
          <w:color w:val="000000" w:themeColor="text1"/>
        </w:rPr>
      </w:pPr>
    </w:p>
    <w:p>
      <w:pPr>
        <w:pStyle w:val="47"/>
        <w:rPr>
          <w:color w:val="000000" w:themeColor="text1"/>
        </w:rPr>
      </w:pPr>
    </w:p>
    <w:p>
      <w:pPr>
        <w:keepNext/>
        <w:keepLines/>
        <w:snapToGrid w:val="0"/>
        <w:spacing w:before="340" w:after="330" w:line="360" w:lineRule="auto"/>
        <w:jc w:val="center"/>
        <w:outlineLvl w:val="1"/>
        <w:rPr>
          <w:rFonts w:ascii="方正小标宋简体" w:hAnsi="方正小标宋简体" w:eastAsia="方正小标宋简体" w:cs="方正小标宋简体"/>
          <w:b/>
          <w:color w:val="000000" w:themeColor="text1"/>
          <w:spacing w:val="20"/>
          <w:kern w:val="44"/>
          <w:sz w:val="72"/>
          <w:szCs w:val="52"/>
        </w:rPr>
      </w:pPr>
      <w:bookmarkStart w:id="2" w:name="_Toc110154410"/>
      <w:bookmarkStart w:id="3" w:name="_Toc150435210"/>
      <w:r>
        <w:rPr>
          <w:rFonts w:hint="eastAsia" w:ascii="方正小标宋简体" w:hAnsi="方正小标宋简体" w:eastAsia="方正小标宋简体" w:cs="方正小标宋简体"/>
          <w:b/>
          <w:color w:val="000000" w:themeColor="text1"/>
          <w:spacing w:val="20"/>
          <w:kern w:val="44"/>
          <w:sz w:val="72"/>
          <w:szCs w:val="52"/>
        </w:rPr>
        <w:t>第一篇</w:t>
      </w:r>
      <w:bookmarkEnd w:id="2"/>
      <w:bookmarkEnd w:id="3"/>
      <w:bookmarkStart w:id="4" w:name="_Toc110154411"/>
      <w:bookmarkStart w:id="5" w:name="_Hlk109940318"/>
      <w:r>
        <w:rPr>
          <w:rFonts w:hint="eastAsia" w:ascii="方正小标宋简体" w:hAnsi="方正小标宋简体" w:eastAsia="方正小标宋简体" w:cs="方正小标宋简体"/>
          <w:b/>
          <w:color w:val="000000" w:themeColor="text1"/>
          <w:spacing w:val="20"/>
          <w:kern w:val="44"/>
          <w:sz w:val="72"/>
          <w:szCs w:val="52"/>
        </w:rPr>
        <w:t xml:space="preserve"> </w:t>
      </w:r>
      <w:r>
        <w:rPr>
          <w:rFonts w:ascii="方正小标宋简体" w:hAnsi="方正小标宋简体" w:eastAsia="方正小标宋简体" w:cs="方正小标宋简体"/>
          <w:b/>
          <w:color w:val="000000" w:themeColor="text1"/>
          <w:spacing w:val="20"/>
          <w:kern w:val="44"/>
          <w:sz w:val="72"/>
          <w:szCs w:val="52"/>
        </w:rPr>
        <w:t xml:space="preserve"> </w:t>
      </w:r>
    </w:p>
    <w:p>
      <w:pPr>
        <w:pStyle w:val="48"/>
        <w:spacing w:after="240" w:line="720" w:lineRule="auto"/>
        <w:jc w:val="center"/>
        <w:rPr>
          <w:rFonts w:ascii="方正小标宋简体" w:hAnsi="方正小标宋简体" w:eastAsia="方正小标宋简体" w:cs="方正小标宋简体"/>
          <w:b/>
          <w:color w:val="000000" w:themeColor="text1"/>
          <w:spacing w:val="20"/>
          <w:kern w:val="44"/>
          <w:sz w:val="72"/>
          <w:szCs w:val="52"/>
        </w:rPr>
      </w:pPr>
      <w:r>
        <w:rPr>
          <w:rFonts w:hint="eastAsia" w:ascii="方正小标宋简体" w:hAnsi="方正小标宋简体" w:eastAsia="方正小标宋简体" w:cs="方正小标宋简体"/>
          <w:b/>
          <w:color w:val="000000" w:themeColor="text1"/>
          <w:spacing w:val="20"/>
          <w:kern w:val="44"/>
          <w:sz w:val="72"/>
          <w:szCs w:val="52"/>
        </w:rPr>
        <w:t>北京市住宅项目</w:t>
      </w:r>
    </w:p>
    <w:p>
      <w:pPr>
        <w:pStyle w:val="48"/>
        <w:spacing w:after="240" w:line="720" w:lineRule="auto"/>
        <w:jc w:val="center"/>
        <w:rPr>
          <w:rFonts w:ascii="方正小标宋简体" w:hAnsi="方正小标宋简体" w:eastAsia="方正小标宋简体" w:cs="方正小标宋简体"/>
          <w:b/>
          <w:color w:val="000000" w:themeColor="text1"/>
          <w:spacing w:val="20"/>
          <w:kern w:val="44"/>
          <w:sz w:val="72"/>
          <w:szCs w:val="52"/>
        </w:rPr>
      </w:pPr>
      <w:r>
        <w:rPr>
          <w:rFonts w:hint="eastAsia" w:ascii="方正小标宋简体" w:hAnsi="方正小标宋简体" w:eastAsia="方正小标宋简体" w:cs="方正小标宋简体"/>
          <w:b/>
          <w:color w:val="000000" w:themeColor="text1"/>
          <w:spacing w:val="20"/>
          <w:kern w:val="44"/>
          <w:sz w:val="72"/>
          <w:szCs w:val="52"/>
        </w:rPr>
        <w:t>物业服务合规指南</w:t>
      </w:r>
      <w:bookmarkEnd w:id="4"/>
      <w:bookmarkEnd w:id="5"/>
    </w:p>
    <w:p>
      <w:pPr>
        <w:snapToGrid w:val="0"/>
        <w:spacing w:line="500" w:lineRule="exact"/>
        <w:ind w:firstLine="560" w:firstLineChars="200"/>
        <w:rPr>
          <w:rFonts w:ascii="仿宋_GB2312" w:hAnsi="Calibri" w:eastAsia="仿宋_GB2312" w:cs="Times New Roman"/>
          <w:color w:val="000000" w:themeColor="text1"/>
          <w:sz w:val="28"/>
        </w:rPr>
      </w:pPr>
      <w:r>
        <w:rPr>
          <w:rFonts w:hint="eastAsia" w:ascii="仿宋_GB2312" w:hAnsi="Calibri" w:eastAsia="仿宋_GB2312" w:cs="Times New Roman"/>
          <w:color w:val="000000" w:themeColor="text1"/>
          <w:sz w:val="28"/>
        </w:rPr>
        <w:br w:type="page"/>
      </w:r>
    </w:p>
    <w:bookmarkEnd w:id="0"/>
    <w:bookmarkEnd w:id="1"/>
    <w:p>
      <w:pPr>
        <w:pStyle w:val="47"/>
        <w:ind w:firstLine="640"/>
        <w:rPr>
          <w:color w:val="000000" w:themeColor="text1"/>
          <w:sz w:val="32"/>
        </w:rPr>
      </w:pPr>
      <w:bookmarkStart w:id="6" w:name="_Toc1223370299"/>
      <w:r>
        <w:rPr>
          <w:color w:val="000000" w:themeColor="text1"/>
          <w:sz w:val="32"/>
        </w:rPr>
        <w:br w:type="column"/>
      </w:r>
    </w:p>
    <w:p>
      <w:pPr>
        <w:pStyle w:val="3"/>
        <w:spacing w:before="156" w:after="156"/>
        <w:rPr>
          <w:color w:val="000000" w:themeColor="text1"/>
        </w:rPr>
      </w:pPr>
      <w:bookmarkStart w:id="7" w:name="_Toc150435211"/>
      <w:r>
        <w:rPr>
          <w:rFonts w:hint="eastAsia"/>
          <w:color w:val="000000" w:themeColor="text1"/>
        </w:rPr>
        <w:t>一、物业企业基础服务合规指南</w:t>
      </w:r>
      <w:bookmarkEnd w:id="6"/>
      <w:bookmarkEnd w:id="7"/>
    </w:p>
    <w:p>
      <w:pPr>
        <w:spacing w:line="360" w:lineRule="auto"/>
        <w:ind w:firstLine="560" w:firstLineChars="200"/>
        <w:rPr>
          <w:rFonts w:ascii="仿宋_GB2312" w:hAnsi="仿宋" w:eastAsia="仿宋_GB2312" w:cs="Times New Roman"/>
          <w:color w:val="000000" w:themeColor="text1"/>
          <w:sz w:val="28"/>
          <w:szCs w:val="32"/>
        </w:rPr>
      </w:pPr>
      <w:bookmarkStart w:id="8" w:name="_Toc1793813924"/>
      <w:bookmarkStart w:id="9" w:name="_Toc1051507839"/>
      <w:r>
        <w:rPr>
          <w:rFonts w:hint="eastAsia" w:ascii="仿宋_GB2312" w:hAnsi="仿宋" w:eastAsia="仿宋_GB2312" w:cs="Times New Roman"/>
          <w:color w:val="000000" w:themeColor="text1"/>
          <w:sz w:val="28"/>
          <w:szCs w:val="32"/>
        </w:rPr>
        <w:t>物业服务企业开展物业服务，应符合法定要求，履行约定义务。物业企业基础服务合规指南以《物业管理条例》《北京市物业管理条例》《住宅物业服务标准》（DB11/T 751-2010）等相关法规规章为依据，明确开展物业服务的基本要求。</w:t>
      </w:r>
    </w:p>
    <w:p>
      <w:pPr>
        <w:pStyle w:val="4"/>
        <w:spacing w:before="312" w:after="312"/>
        <w:rPr>
          <w:color w:val="000000" w:themeColor="text1"/>
        </w:rPr>
      </w:pPr>
      <w:bookmarkStart w:id="10" w:name="_Toc1176178915"/>
      <w:bookmarkStart w:id="11" w:name="_Toc150435212"/>
      <w:r>
        <w:rPr>
          <w:rFonts w:hint="eastAsia"/>
          <w:color w:val="000000" w:themeColor="text1"/>
        </w:rPr>
        <w:t>（一）</w:t>
      </w:r>
      <w:r>
        <w:rPr>
          <w:rFonts w:hint="eastAsia"/>
          <w:color w:val="000000" w:themeColor="text1"/>
          <w:lang w:eastAsia="zh-CN"/>
        </w:rPr>
        <w:t>物业服务</w:t>
      </w:r>
      <w:r>
        <w:rPr>
          <w:rFonts w:hint="eastAsia"/>
          <w:color w:val="000000" w:themeColor="text1"/>
        </w:rPr>
        <w:t>客户服务场所合规指南</w:t>
      </w:r>
      <w:bookmarkEnd w:id="8"/>
      <w:bookmarkEnd w:id="9"/>
      <w:bookmarkEnd w:id="10"/>
      <w:bookmarkEnd w:id="11"/>
    </w:p>
    <w:p>
      <w:pPr>
        <w:ind w:firstLine="562" w:firstLineChars="200"/>
        <w:rPr>
          <w:rFonts w:ascii="仿宋_GB2312" w:hAnsi="仿宋" w:eastAsia="仿宋_GB2312" w:cs="Times New Roman"/>
          <w:color w:val="000000" w:themeColor="text1"/>
          <w:sz w:val="28"/>
          <w:szCs w:val="32"/>
        </w:rPr>
      </w:pPr>
      <w:r>
        <w:rPr>
          <w:rFonts w:hint="eastAsia" w:ascii="仿宋_GB2312" w:hAnsi="仿宋" w:eastAsia="仿宋_GB2312" w:cs="Times New Roman"/>
          <w:b/>
          <w:color w:val="000000" w:themeColor="text1"/>
          <w:sz w:val="28"/>
          <w:szCs w:val="32"/>
        </w:rPr>
        <w:t>根据《北京市物业管理条例》《住宅物业服务标准》《住宅物业管理项目“晒服务标准、晒收费标准”专项行动工作方案》</w:t>
      </w:r>
      <w:r>
        <w:rPr>
          <w:rFonts w:hint="eastAsia" w:ascii="仿宋_GB2312" w:hAnsi="仿宋" w:eastAsia="仿宋_GB2312" w:cs="Times New Roman"/>
          <w:color w:val="000000" w:themeColor="text1"/>
          <w:sz w:val="28"/>
          <w:szCs w:val="32"/>
        </w:rPr>
        <w:t>：</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1.物业服务企业应设置客户服务场所，配置基本办公设备，并在小区内有明显指引标识。（一至五级）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2.物业服务企业应在客户服务场所内及物业管理区域内显著位置设置公示栏，公示以下内容，公示位置不少于2处：（一至五级）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（1）物业服务企业营业执照或加盖企业公章的营业执照复印件、项目负责人姓名、联系方式和照片、物业服务投诉电话；</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2）物业服务内容和标准、收费标准和方式。晒服务标准：公开物业服务合同约定的服务标准、停车及其他有偿服务的服务项目、服务标准、服务方式和投诉电话等；晒收费标准：公开物业服务、停车及其他有偿服务的收费项目、收费标准、收费方式和投诉电话等。服务标准应当与收费标准一一对应。</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（3）电梯、消防等具有专业技术要求的设施设备的日常维修保养单位名称、资质、联系方式、维保方案和应急处置方案等；</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（4）上一年度物业服务合同履行情况、物业服务项目收支情况、本年度物业服务项目收支预算；</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（5）上一年度公共水电费用分摊情况、公共收益收支与专项维修资金使用情况；</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（6）业主进行房屋装饰装修活动的情况；</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（7）物业管理区域内车位、车库的出售和出租情况；</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（8）其他应当公示的信息。</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3.客户服务场所工作时间，工作日不少于8小时，其他时间设置值班人员。（一至四级）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客户服务场所工作时间，工作日不少于12小时，节假日不少于8小时，其他时间设置值班人员（五级）。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4.设置并公示24小时服务电话及投诉电话。（一至五级）</w:t>
      </w:r>
    </w:p>
    <w:p>
      <w:pPr>
        <w:spacing w:line="360" w:lineRule="auto"/>
        <w:ind w:firstLine="562" w:firstLineChars="200"/>
        <w:rPr>
          <w:rFonts w:ascii="仿宋_GB2312" w:hAnsi="仿宋" w:eastAsia="仿宋_GB2312" w:cs="仿宋"/>
          <w:b/>
          <w:color w:val="000000" w:themeColor="text1"/>
          <w:sz w:val="40"/>
          <w:szCs w:val="28"/>
        </w:rPr>
      </w:pPr>
      <w:r>
        <w:rPr>
          <w:rFonts w:hint="eastAsia" w:ascii="仿宋_GB2312" w:eastAsia="仿宋_GB2312"/>
          <w:b/>
          <w:color w:val="000000" w:themeColor="text1"/>
          <w:sz w:val="28"/>
        </w:rPr>
        <w:t>风险提示</w:t>
      </w:r>
    </w:p>
    <w:p>
      <w:pPr>
        <w:overflowPunct w:val="0"/>
        <w:spacing w:line="360" w:lineRule="auto"/>
        <w:ind w:firstLine="562" w:firstLineChars="200"/>
        <w:rPr>
          <w:rFonts w:ascii="仿宋_GB2312" w:hAnsi="仿宋" w:eastAsia="仿宋_GB2312" w:cs="Times New Roman"/>
          <w:color w:val="000000" w:themeColor="text1"/>
          <w:sz w:val="28"/>
          <w:szCs w:val="32"/>
        </w:rPr>
      </w:pPr>
      <w:r>
        <w:rPr>
          <w:rFonts w:hint="eastAsia" w:ascii="仿宋_GB2312" w:hAnsi="仿宋" w:eastAsia="仿宋_GB2312" w:cs="Times New Roman"/>
          <w:b/>
          <w:color w:val="000000" w:themeColor="text1"/>
          <w:sz w:val="28"/>
          <w:szCs w:val="32"/>
        </w:rPr>
        <w:t>根据《北京市物业管理条例》</w:t>
      </w:r>
      <w:r>
        <w:rPr>
          <w:rFonts w:hint="eastAsia" w:ascii="仿宋_GB2312" w:hAnsi="仿宋" w:eastAsia="仿宋_GB2312" w:cs="Times New Roman"/>
          <w:color w:val="000000" w:themeColor="text1"/>
          <w:sz w:val="28"/>
          <w:szCs w:val="32"/>
        </w:rPr>
        <w:t>：</w:t>
      </w:r>
    </w:p>
    <w:p>
      <w:pPr>
        <w:overflowPunct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第九十四条  违反本条例第七十条规定，物业服务人未按照规定如实公示有关信息的，由区住房和城乡建设或者房屋主管部门责令限期改正，给予警告；逾期不改的，处一千元以上五千元以下的罚款。</w:t>
      </w:r>
    </w:p>
    <w:p>
      <w:pPr>
        <w:widowControl/>
        <w:jc w:val="left"/>
        <w:rPr>
          <w:rFonts w:ascii="仿宋_GB2312" w:hAnsi="Arial" w:eastAsia="仿宋_GB2312"/>
          <w:color w:val="000000" w:themeColor="text1"/>
          <w:sz w:val="32"/>
        </w:rPr>
      </w:pPr>
      <w:r>
        <w:rPr>
          <w:rFonts w:hint="eastAsia" w:ascii="仿宋_GB2312" w:eastAsia="仿宋_GB2312"/>
          <w:color w:val="000000" w:themeColor="text1"/>
        </w:rPr>
        <w:br w:type="page"/>
      </w:r>
    </w:p>
    <w:p>
      <w:pPr>
        <w:pStyle w:val="4"/>
        <w:snapToGrid w:val="0"/>
        <w:spacing w:before="312" w:after="312"/>
        <w:rPr>
          <w:color w:val="000000" w:themeColor="text1"/>
        </w:rPr>
      </w:pPr>
      <w:bookmarkStart w:id="12" w:name="_Toc150435213"/>
      <w:r>
        <w:rPr>
          <w:rFonts w:hint="eastAsia"/>
          <w:color w:val="000000" w:themeColor="text1"/>
        </w:rPr>
        <w:t>（二）物业服务人员合规指南</w:t>
      </w:r>
      <w:bookmarkEnd w:id="12"/>
    </w:p>
    <w:p>
      <w:pPr>
        <w:widowControl/>
        <w:shd w:val="clear" w:color="auto" w:fill="FFFFFF"/>
        <w:snapToGrid w:val="0"/>
        <w:spacing w:beforeLines="50" w:line="360" w:lineRule="auto"/>
        <w:ind w:firstLine="482"/>
        <w:jc w:val="left"/>
        <w:rPr>
          <w:rFonts w:ascii="仿宋_GB2312" w:hAnsi="仿宋" w:eastAsia="仿宋_GB2312" w:cs="Times New Roman"/>
          <w:b/>
          <w:color w:val="000000" w:themeColor="text1"/>
          <w:sz w:val="28"/>
          <w:szCs w:val="32"/>
        </w:rPr>
      </w:pPr>
      <w:r>
        <w:rPr>
          <w:rFonts w:hint="eastAsia" w:ascii="仿宋_GB2312" w:hAnsi="仿宋" w:eastAsia="仿宋_GB2312" w:cs="Times New Roman"/>
          <w:b/>
          <w:color w:val="000000" w:themeColor="text1"/>
          <w:sz w:val="28"/>
          <w:szCs w:val="32"/>
        </w:rPr>
        <w:t>根据《住宅物业服务标准》：</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1.应配备物业服务项目负责人。项目负责人应具备物业服务企业或相关企业管理工作经历。</w:t>
      </w:r>
      <w:bookmarkStart w:id="13" w:name="_Hlk109941817"/>
      <w:r>
        <w:rPr>
          <w:rFonts w:hint="eastAsia" w:ascii="仿宋_GB2312" w:hAnsi="仿宋" w:eastAsia="仿宋_GB2312" w:cs="仿宋"/>
          <w:color w:val="000000" w:themeColor="text1"/>
          <w:sz w:val="28"/>
          <w:szCs w:val="28"/>
        </w:rPr>
        <w:t>（一至五级）</w:t>
      </w:r>
      <w:bookmarkEnd w:id="13"/>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2.物业服务企业应配备相关岗位的从业人员。实施锅炉、电梯、电气、制冷以及有限空间、高空等涉及人身安全的作业，物业服务企业应当具备相应资质或者委托具备相应资质的单位及个人实施；委托实施的，应当明确各自的安全管理责任。（一至五级）</w:t>
      </w:r>
    </w:p>
    <w:p>
      <w:pPr>
        <w:snapToGrid w:val="0"/>
        <w:spacing w:line="360" w:lineRule="auto"/>
        <w:ind w:firstLine="560" w:firstLineChars="200"/>
        <w:rPr>
          <w:rFonts w:ascii="仿宋_GB2312" w:hAnsi="仿宋" w:eastAsia="仿宋_GB2312" w:cs="仿宋"/>
          <w:color w:val="000000" w:themeColor="text1"/>
          <w:sz w:val="28"/>
          <w:szCs w:val="28"/>
        </w:rPr>
      </w:pPr>
      <w:r>
        <w:rPr>
          <w:rFonts w:ascii="仿宋_GB2312" w:hAnsi="仿宋" w:eastAsia="仿宋_GB2312" w:cs="仿宋"/>
          <w:color w:val="000000" w:themeColor="text1"/>
          <w:sz w:val="28"/>
          <w:szCs w:val="28"/>
        </w:rPr>
        <w:t>如：电梯维修、空调制冷维修、强电运行维修、消防监控等专业人员均应持证上岗；直接从事供水工作的人员应取得健康体检合格证。</w:t>
      </w:r>
    </w:p>
    <w:p>
      <w:pPr>
        <w:snapToGrid w:val="0"/>
        <w:spacing w:line="360" w:lineRule="auto"/>
        <w:ind w:firstLine="560" w:firstLineChars="200"/>
        <w:rPr>
          <w:rFonts w:ascii="仿宋_GB2312" w:hAnsi="仿宋" w:eastAsia="仿宋_GB2312" w:cs="仿宋"/>
          <w:color w:val="000000" w:themeColor="text1"/>
          <w:sz w:val="28"/>
          <w:szCs w:val="28"/>
        </w:rPr>
      </w:pPr>
      <w:r>
        <w:rPr>
          <w:rFonts w:ascii="仿宋_GB2312" w:hAnsi="仿宋" w:eastAsia="仿宋_GB2312" w:cs="仿宋"/>
          <w:color w:val="000000" w:themeColor="text1"/>
          <w:sz w:val="28"/>
          <w:szCs w:val="28"/>
        </w:rPr>
        <w:t>3</w:t>
      </w:r>
      <w:r>
        <w:rPr>
          <w:rFonts w:hint="eastAsia" w:ascii="仿宋_GB2312" w:hAnsi="仿宋" w:eastAsia="仿宋_GB2312" w:cs="仿宋"/>
          <w:color w:val="000000" w:themeColor="text1"/>
          <w:sz w:val="28"/>
          <w:szCs w:val="28"/>
        </w:rPr>
        <w:t>.从业人员应佩戴标志。（一级）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从业人员统一着装，佩戴标志。（二级）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从业人员分岗位统一着装、佩戴标志。（三级）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从业人员分岗位统一着装，佩戴标志，配备专业工具。（四至五级）</w:t>
      </w:r>
    </w:p>
    <w:p>
      <w:pPr>
        <w:snapToGrid w:val="0"/>
        <w:spacing w:line="360" w:lineRule="auto"/>
        <w:ind w:firstLine="560" w:firstLineChars="200"/>
        <w:rPr>
          <w:rFonts w:ascii="仿宋_GB2312" w:hAnsi="仿宋" w:eastAsia="仿宋_GB2312" w:cs="仿宋"/>
          <w:color w:val="000000" w:themeColor="text1"/>
          <w:sz w:val="28"/>
          <w:szCs w:val="28"/>
        </w:rPr>
      </w:pPr>
      <w:r>
        <w:rPr>
          <w:rFonts w:ascii="仿宋_GB2312" w:hAnsi="仿宋" w:eastAsia="仿宋_GB2312" w:cs="仿宋"/>
          <w:color w:val="000000" w:themeColor="text1"/>
          <w:sz w:val="28"/>
          <w:szCs w:val="28"/>
        </w:rPr>
        <w:t>4</w:t>
      </w:r>
      <w:r>
        <w:rPr>
          <w:rFonts w:hint="eastAsia" w:ascii="仿宋_GB2312" w:hAnsi="仿宋" w:eastAsia="仿宋_GB2312" w:cs="仿宋"/>
          <w:color w:val="000000" w:themeColor="text1"/>
          <w:sz w:val="28"/>
          <w:szCs w:val="28"/>
        </w:rPr>
        <w:t>.按需求配备具有外语会话能力的管理人员；按需求配备具有急救能力的工作人员。（五级）</w:t>
      </w:r>
    </w:p>
    <w:p>
      <w:pPr>
        <w:widowControl/>
        <w:shd w:val="clear" w:color="auto" w:fill="FFFFFF"/>
        <w:snapToGrid w:val="0"/>
        <w:spacing w:beforeLines="50" w:line="360" w:lineRule="auto"/>
        <w:ind w:firstLine="482"/>
        <w:jc w:val="left"/>
        <w:rPr>
          <w:rFonts w:ascii="仿宋_GB2312" w:hAnsi="仿宋" w:eastAsia="仿宋_GB2312" w:cs="Times New Roman"/>
          <w:b/>
          <w:color w:val="000000" w:themeColor="text1"/>
          <w:sz w:val="28"/>
          <w:szCs w:val="32"/>
        </w:rPr>
      </w:pPr>
      <w:r>
        <w:rPr>
          <w:rFonts w:hint="eastAsia" w:ascii="仿宋_GB2312" w:hAnsi="仿宋" w:eastAsia="仿宋_GB2312" w:cs="仿宋"/>
          <w:b/>
          <w:color w:val="000000" w:themeColor="text1"/>
          <w:sz w:val="28"/>
          <w:szCs w:val="28"/>
        </w:rPr>
        <w:t>根据</w:t>
      </w:r>
      <w:r>
        <w:rPr>
          <w:rFonts w:hint="eastAsia" w:ascii="仿宋_GB2312" w:hAnsi="仿宋" w:eastAsia="仿宋_GB2312" w:cs="Times New Roman"/>
          <w:b/>
          <w:color w:val="000000" w:themeColor="text1"/>
          <w:sz w:val="28"/>
          <w:szCs w:val="32"/>
        </w:rPr>
        <w:t>《北京市房屋建筑使用安全管理办法》（北京市人民</w:t>
      </w:r>
      <w:r>
        <w:rPr>
          <w:rFonts w:ascii="仿宋_GB2312" w:hAnsi="仿宋" w:eastAsia="仿宋_GB2312" w:cs="Times New Roman"/>
          <w:b/>
          <w:color w:val="000000" w:themeColor="text1"/>
          <w:sz w:val="28"/>
          <w:szCs w:val="32"/>
        </w:rPr>
        <w:t>政府令第229号</w:t>
      </w:r>
      <w:r>
        <w:rPr>
          <w:rFonts w:hint="eastAsia" w:ascii="仿宋_GB2312" w:hAnsi="仿宋" w:eastAsia="仿宋_GB2312" w:cs="Times New Roman"/>
          <w:b/>
          <w:color w:val="000000" w:themeColor="text1"/>
          <w:sz w:val="28"/>
          <w:szCs w:val="32"/>
        </w:rPr>
        <w:t>）：</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自行管理的单位和受托管理的物业服务企业应当配备房屋建筑安全管理员。安全管理员应当具备房屋建筑结构和设施设备安全管理的专业知识。</w:t>
      </w:r>
    </w:p>
    <w:p>
      <w:pPr>
        <w:snapToGrid w:val="0"/>
        <w:spacing w:beforeLines="50" w:line="360" w:lineRule="auto"/>
        <w:ind w:firstLine="562" w:firstLineChars="200"/>
        <w:rPr>
          <w:rFonts w:ascii="仿宋_GB2312" w:hAnsi="仿宋" w:eastAsia="仿宋_GB2312" w:cs="仿宋"/>
          <w:b/>
          <w:color w:val="000000" w:themeColor="text1"/>
          <w:sz w:val="40"/>
          <w:szCs w:val="28"/>
        </w:rPr>
      </w:pPr>
      <w:r>
        <w:rPr>
          <w:rFonts w:hint="eastAsia" w:ascii="仿宋_GB2312" w:eastAsia="仿宋_GB2312"/>
          <w:b/>
          <w:color w:val="000000" w:themeColor="text1"/>
          <w:sz w:val="28"/>
        </w:rPr>
        <w:t>风险提示</w:t>
      </w:r>
    </w:p>
    <w:p>
      <w:pPr>
        <w:snapToGrid w:val="0"/>
        <w:spacing w:line="360" w:lineRule="auto"/>
        <w:ind w:firstLine="562" w:firstLineChars="200"/>
        <w:rPr>
          <w:rFonts w:ascii="仿宋_GB2312" w:hAnsi="仿宋" w:eastAsia="仿宋_GB2312" w:cs="仿宋"/>
          <w:color w:val="000000" w:themeColor="text1"/>
          <w:sz w:val="28"/>
          <w:szCs w:val="28"/>
        </w:rPr>
      </w:pPr>
      <w:r>
        <w:rPr>
          <w:rFonts w:hint="eastAsia" w:ascii="仿宋_GB2312" w:hAnsi="仿宋" w:eastAsia="仿宋_GB2312" w:cs="Times New Roman"/>
          <w:b/>
          <w:color w:val="000000" w:themeColor="text1"/>
          <w:sz w:val="28"/>
          <w:szCs w:val="32"/>
        </w:rPr>
        <w:t>根据《北京市房屋建筑使用安全管理办法》：</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自行管理的单位或者受托管理的物业服务企业未配备安全管理员的，由住房城乡建设行政主管部门责令限期改正；拒不改正的，处1万元以上3万元以下罚款。</w:t>
      </w:r>
    </w:p>
    <w:p>
      <w:pPr>
        <w:widowControl/>
        <w:snapToGrid w:val="0"/>
        <w:jc w:val="left"/>
        <w:rPr>
          <w:rFonts w:ascii="仿宋_GB2312" w:hAnsi="仿宋" w:eastAsia="仿宋_GB2312" w:cs="仿宋"/>
          <w:color w:val="000000" w:themeColor="text1"/>
          <w:sz w:val="28"/>
          <w:szCs w:val="28"/>
        </w:rPr>
      </w:pPr>
      <w:r>
        <w:rPr>
          <w:rFonts w:ascii="仿宋_GB2312" w:hAnsi="仿宋" w:eastAsia="仿宋_GB2312" w:cs="仿宋"/>
          <w:color w:val="000000" w:themeColor="text1"/>
          <w:sz w:val="28"/>
          <w:szCs w:val="28"/>
        </w:rPr>
        <w:br w:type="page"/>
      </w:r>
    </w:p>
    <w:p>
      <w:pPr>
        <w:pStyle w:val="4"/>
        <w:snapToGrid w:val="0"/>
        <w:spacing w:before="312" w:after="312"/>
        <w:rPr>
          <w:color w:val="000000" w:themeColor="text1"/>
        </w:rPr>
      </w:pPr>
      <w:bookmarkStart w:id="14" w:name="_Toc150435214"/>
      <w:r>
        <w:rPr>
          <w:rFonts w:hint="eastAsia"/>
          <w:color w:val="000000" w:themeColor="text1"/>
        </w:rPr>
        <w:t>（三）物业服务制度合规指南</w:t>
      </w:r>
      <w:bookmarkEnd w:id="14"/>
    </w:p>
    <w:p>
      <w:pPr>
        <w:snapToGrid w:val="0"/>
        <w:spacing w:beforeLines="50" w:line="360" w:lineRule="auto"/>
        <w:ind w:firstLine="562" w:firstLineChars="200"/>
        <w:rPr>
          <w:rFonts w:ascii="仿宋_GB2312" w:eastAsia="仿宋_GB2312"/>
          <w:b/>
          <w:color w:val="000000" w:themeColor="text1"/>
        </w:rPr>
      </w:pPr>
      <w:r>
        <w:rPr>
          <w:rFonts w:hint="eastAsia" w:ascii="仿宋_GB2312" w:hAnsi="仿宋" w:eastAsia="仿宋_GB2312" w:cs="Times New Roman"/>
          <w:b/>
          <w:color w:val="000000" w:themeColor="text1"/>
          <w:sz w:val="28"/>
          <w:szCs w:val="32"/>
        </w:rPr>
        <w:t>根据《住宅物业服务标准》：</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物业服务企业应建立相关制度，包括共用部位及共用设施设备维修养护、消防安全防范、绿化养护、环境卫生、公共秩序维护、垃圾分类、房屋管理、维修管理、二次供水管理、电梯管理、装饰装修管理、值班、财务管理、收费管理、培训与考核、安全生产、项目负责人社区报到管理制度。</w:t>
      </w:r>
      <w:bookmarkStart w:id="15" w:name="_Hlk109941837"/>
      <w:r>
        <w:rPr>
          <w:rFonts w:hint="eastAsia" w:ascii="仿宋_GB2312" w:hAnsi="仿宋" w:eastAsia="仿宋_GB2312" w:cs="仿宋"/>
          <w:color w:val="000000" w:themeColor="text1"/>
          <w:sz w:val="28"/>
          <w:szCs w:val="28"/>
        </w:rPr>
        <w:t>（一至五级）</w:t>
      </w:r>
      <w:bookmarkEnd w:id="15"/>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2.物业服务企业应建立突发公共事件应急预案体系，包括但不限于消防及紧急疏散、电梯困人救援、高空坠物、设施设备突发故障等专项应急预案。同时物业服务企业应当按照要求服从政府统一指挥，在街道办事处、乡镇人民政府指导下积极配合居民委员会、村民委员会开展工作，依法落实应急预案和各项应急措施。</w:t>
      </w:r>
      <w:bookmarkStart w:id="16" w:name="_Hlk109942093"/>
      <w:r>
        <w:rPr>
          <w:rFonts w:hint="eastAsia" w:ascii="仿宋_GB2312" w:hAnsi="仿宋" w:eastAsia="仿宋_GB2312" w:cs="仿宋"/>
          <w:color w:val="000000" w:themeColor="text1"/>
          <w:sz w:val="28"/>
          <w:szCs w:val="28"/>
        </w:rPr>
        <w:t>（一至五级）</w:t>
      </w:r>
      <w:bookmarkEnd w:id="16"/>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3.物业服务企业应建立物业服务工作记录，包括企业文化、规章制度、服务理念等。（一至五级）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4</w:t>
      </w:r>
      <w:r>
        <w:rPr>
          <w:rFonts w:ascii="仿宋_GB2312" w:hAnsi="仿宋" w:eastAsia="仿宋_GB2312" w:cs="仿宋"/>
          <w:color w:val="000000" w:themeColor="text1"/>
          <w:sz w:val="28"/>
          <w:szCs w:val="28"/>
        </w:rPr>
        <w:t>.</w:t>
      </w:r>
      <w:r>
        <w:rPr>
          <w:rFonts w:hint="eastAsia" w:ascii="仿宋_GB2312" w:hAnsi="仿宋" w:eastAsia="仿宋_GB2312" w:cs="仿宋"/>
          <w:color w:val="000000" w:themeColor="text1"/>
          <w:sz w:val="28"/>
          <w:szCs w:val="28"/>
        </w:rPr>
        <w:t>物业服务企业应建立培训与考核体系，定期组织，并建立培训与考核的管理档案。培训与考核范围包括：员工入职培训、员工岗位培训、安全生产培训等。（三至五级）</w:t>
      </w:r>
    </w:p>
    <w:p>
      <w:pPr>
        <w:widowControl/>
        <w:snapToGrid w:val="0"/>
        <w:jc w:val="left"/>
        <w:rPr>
          <w:rFonts w:ascii="仿宋_GB2312" w:hAnsi="Arial" w:eastAsia="仿宋_GB2312"/>
          <w:b/>
          <w:color w:val="000000" w:themeColor="text1"/>
          <w:sz w:val="32"/>
          <w:szCs w:val="32"/>
        </w:rPr>
      </w:pPr>
      <w:r>
        <w:rPr>
          <w:color w:val="000000" w:themeColor="text1"/>
        </w:rPr>
        <w:br w:type="page"/>
      </w:r>
    </w:p>
    <w:p>
      <w:pPr>
        <w:pStyle w:val="4"/>
        <w:snapToGrid w:val="0"/>
        <w:spacing w:before="312" w:after="312"/>
        <w:rPr>
          <w:color w:val="000000" w:themeColor="text1"/>
        </w:rPr>
      </w:pPr>
      <w:bookmarkStart w:id="17" w:name="_Toc150435215"/>
      <w:r>
        <w:rPr>
          <w:rFonts w:hint="eastAsia"/>
          <w:color w:val="000000" w:themeColor="text1"/>
        </w:rPr>
        <w:t>（四）物业服务档案合规指南</w:t>
      </w:r>
      <w:bookmarkEnd w:id="17"/>
    </w:p>
    <w:p>
      <w:pPr>
        <w:snapToGrid w:val="0"/>
        <w:spacing w:beforeLines="50" w:line="360" w:lineRule="auto"/>
        <w:ind w:firstLine="562" w:firstLineChars="200"/>
        <w:rPr>
          <w:rFonts w:ascii="仿宋_GB2312" w:eastAsia="仿宋_GB2312"/>
          <w:b/>
          <w:color w:val="000000" w:themeColor="text1"/>
        </w:rPr>
      </w:pPr>
      <w:r>
        <w:rPr>
          <w:rFonts w:hint="eastAsia" w:ascii="仿宋_GB2312" w:hAnsi="仿宋" w:eastAsia="仿宋_GB2312" w:cs="Times New Roman"/>
          <w:b/>
          <w:color w:val="000000" w:themeColor="text1"/>
          <w:sz w:val="28"/>
          <w:szCs w:val="32"/>
        </w:rPr>
        <w:t>根据《住宅物业服务标准》：</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1.建立物业管理档案，包括：（一至五级）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（1）小区共有部分经营管理档案；</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（2）小区监控系统、电梯、水泵、有限空间、消杀、有害（毒）药剂等共用部位、共用设施设备档案及其管理、运行、维修、养护记录；</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（3）水箱清洗记录及水箱水质检测报告；</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（4）住宅装饰装修管理资料；</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（5）业主名册；</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（6）签订的供水、供电、垃圾清运等书面协议；</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（7）物业服务活动中形成的与业主利益相关的其他资料；</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（8）生活垃圾处理台账等相关资料；</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（9）业主委员会、物业管理委员会成立及日常往来等相关资料；</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（10）安全生产管理档案资料；</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（11）物业服务合同备案档案资料；</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（12）建立物业管理日常服务档案及投诉、报修等工作记录；</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（13）建立日常秩序维护、环境维护方面的维护记录和档案。</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2.应配备档案管理人员。（一至三级）</w:t>
      </w:r>
    </w:p>
    <w:p>
      <w:pPr>
        <w:snapToGrid w:val="0"/>
        <w:spacing w:line="360" w:lineRule="auto"/>
        <w:ind w:firstLine="560" w:firstLineChars="200"/>
        <w:rPr>
          <w:rFonts w:ascii="仿宋_GB2312" w:hAnsi="仿宋" w:eastAsia="仿宋_GB2312" w:cs="仿宋"/>
          <w:color w:val="000000" w:themeColor="text1"/>
          <w:sz w:val="28"/>
          <w:szCs w:val="28"/>
        </w:rPr>
      </w:pPr>
      <w:r>
        <w:rPr>
          <w:rFonts w:ascii="仿宋_GB2312" w:hAnsi="仿宋" w:eastAsia="仿宋_GB2312" w:cs="仿宋"/>
          <w:color w:val="000000" w:themeColor="text1"/>
          <w:sz w:val="28"/>
          <w:szCs w:val="28"/>
        </w:rPr>
        <w:t>配备专职档案管理人员，有档案资料室。</w:t>
      </w:r>
      <w:r>
        <w:rPr>
          <w:rFonts w:hint="eastAsia" w:ascii="仿宋_GB2312" w:hAnsi="仿宋" w:eastAsia="仿宋_GB2312" w:cs="仿宋"/>
          <w:color w:val="000000" w:themeColor="text1"/>
          <w:sz w:val="28"/>
          <w:szCs w:val="28"/>
        </w:rPr>
        <w:t>（四至五级）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3.应用计算机管理基本信息、基础资料。（一至二级）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应用计算机管理基本信息、基础资料、维修养护资料、收费资料等。（三至五级）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4.负责保管建设单位、改造施工单位等依法向物业企业移交的档案资料。</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5</w:t>
      </w:r>
      <w:r>
        <w:rPr>
          <w:rFonts w:ascii="仿宋_GB2312" w:hAnsi="仿宋" w:eastAsia="仿宋_GB2312" w:cs="仿宋"/>
          <w:color w:val="000000" w:themeColor="text1"/>
          <w:sz w:val="28"/>
          <w:szCs w:val="28"/>
        </w:rPr>
        <w:t>.档案管理应遵守有关保密规定，不得外泄业主资料。</w:t>
      </w:r>
    </w:p>
    <w:p>
      <w:pPr>
        <w:pStyle w:val="47"/>
        <w:snapToGrid w:val="0"/>
        <w:spacing w:beforeLines="50" w:after="0" w:line="360" w:lineRule="auto"/>
        <w:ind w:left="0" w:leftChars="0" w:firstLine="562"/>
        <w:rPr>
          <w:rFonts w:ascii="仿宋_GB2312" w:hAnsi="仿宋" w:eastAsia="仿宋_GB2312" w:cs="仿宋"/>
          <w:b/>
          <w:color w:val="000000" w:themeColor="text1"/>
          <w:sz w:val="28"/>
          <w:szCs w:val="28"/>
        </w:rPr>
      </w:pPr>
      <w:r>
        <w:rPr>
          <w:rFonts w:hint="eastAsia" w:ascii="仿宋_GB2312" w:hAnsi="仿宋" w:eastAsia="仿宋_GB2312" w:cs="仿宋"/>
          <w:b/>
          <w:color w:val="000000" w:themeColor="text1"/>
          <w:sz w:val="28"/>
          <w:szCs w:val="28"/>
        </w:rPr>
        <w:t>根据《北京市房屋建筑使用安全管理办法》：</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房屋建筑所有权人或者受托管理人应当对房屋建筑进行检查维护，发现危及房屋建筑使用安全的问题时，应当及时向住房城乡建设行政主管部门报告，并有权对危害房屋建筑使用安全的行为进行制止。</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自行管理的单位和受托管理的物业服务企业应当按照住房城乡建设行政主管部门的规定建立房屋建筑使用安全管理档案。</w:t>
      </w:r>
    </w:p>
    <w:p>
      <w:pPr>
        <w:snapToGrid w:val="0"/>
        <w:spacing w:beforeLines="50" w:line="360" w:lineRule="auto"/>
        <w:ind w:firstLine="562" w:firstLineChars="200"/>
        <w:rPr>
          <w:rFonts w:ascii="仿宋_GB2312" w:hAnsi="仿宋" w:eastAsia="仿宋_GB2312" w:cs="仿宋"/>
          <w:b/>
          <w:color w:val="000000" w:themeColor="text1"/>
          <w:sz w:val="40"/>
          <w:szCs w:val="28"/>
        </w:rPr>
      </w:pPr>
      <w:r>
        <w:rPr>
          <w:rFonts w:hint="eastAsia" w:ascii="仿宋_GB2312" w:eastAsia="仿宋_GB2312"/>
          <w:b/>
          <w:color w:val="000000" w:themeColor="text1"/>
          <w:sz w:val="28"/>
        </w:rPr>
        <w:t>风险提示</w:t>
      </w:r>
    </w:p>
    <w:p>
      <w:pPr>
        <w:overflowPunct w:val="0"/>
        <w:snapToGrid w:val="0"/>
        <w:spacing w:line="360" w:lineRule="auto"/>
        <w:ind w:firstLine="562" w:firstLineChars="200"/>
        <w:rPr>
          <w:rFonts w:ascii="仿宋_GB2312" w:hAnsi="仿宋" w:eastAsia="仿宋_GB2312" w:cs="仿宋"/>
          <w:b/>
          <w:color w:val="000000" w:themeColor="text1"/>
          <w:sz w:val="28"/>
          <w:szCs w:val="28"/>
        </w:rPr>
      </w:pPr>
      <w:r>
        <w:rPr>
          <w:rFonts w:hint="eastAsia" w:ascii="仿宋_GB2312" w:hAnsi="仿宋" w:eastAsia="仿宋_GB2312" w:cs="仿宋"/>
          <w:b/>
          <w:color w:val="000000" w:themeColor="text1"/>
          <w:sz w:val="28"/>
          <w:szCs w:val="28"/>
        </w:rPr>
        <w:t>根据《北京市物业管理条例》：</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物业服务企业未建立、保存相关档案和资料的，由区住房和城乡建设或者房屋主管部门责令限期改正，处二万元以上五万元以下的罚款。</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未按照规定建立房屋建筑使用安全管理档案并如实记录的，由住房城乡建设行政主管部门责令限期改正；并可以处1万元以上3万元以下罚款。</w:t>
      </w:r>
    </w:p>
    <w:p>
      <w:pPr>
        <w:widowControl/>
        <w:snapToGrid w:val="0"/>
        <w:jc w:val="left"/>
        <w:rPr>
          <w:rFonts w:ascii="仿宋_GB2312" w:hAnsi="Arial" w:eastAsia="仿宋_GB2312"/>
          <w:color w:val="000000" w:themeColor="text1"/>
          <w:sz w:val="32"/>
        </w:rPr>
      </w:pPr>
      <w:r>
        <w:rPr>
          <w:rFonts w:hint="eastAsia" w:ascii="仿宋_GB2312" w:eastAsia="仿宋_GB2312"/>
          <w:color w:val="000000" w:themeColor="text1"/>
        </w:rPr>
        <w:br w:type="page"/>
      </w:r>
    </w:p>
    <w:p>
      <w:pPr>
        <w:pStyle w:val="4"/>
        <w:snapToGrid w:val="0"/>
        <w:spacing w:before="312" w:after="312"/>
        <w:rPr>
          <w:color w:val="000000" w:themeColor="text1"/>
        </w:rPr>
      </w:pPr>
      <w:bookmarkStart w:id="18" w:name="_Toc150435216"/>
      <w:r>
        <w:rPr>
          <w:rFonts w:hint="eastAsia"/>
          <w:color w:val="000000" w:themeColor="text1"/>
        </w:rPr>
        <w:t>（五）物业服务标识合规指南</w:t>
      </w:r>
      <w:bookmarkEnd w:id="18"/>
    </w:p>
    <w:p>
      <w:pPr>
        <w:snapToGrid w:val="0"/>
        <w:spacing w:beforeLines="50" w:line="360" w:lineRule="auto"/>
        <w:ind w:firstLine="562" w:firstLineChars="200"/>
        <w:rPr>
          <w:rFonts w:ascii="仿宋_GB2312" w:eastAsia="仿宋_GB2312"/>
          <w:b/>
          <w:color w:val="000000" w:themeColor="text1"/>
        </w:rPr>
      </w:pPr>
      <w:r>
        <w:rPr>
          <w:rFonts w:hint="eastAsia" w:ascii="仿宋_GB2312" w:hAnsi="仿宋" w:eastAsia="仿宋_GB2312" w:cs="Times New Roman"/>
          <w:b/>
          <w:color w:val="000000" w:themeColor="text1"/>
          <w:sz w:val="28"/>
          <w:szCs w:val="32"/>
        </w:rPr>
        <w:t>根据《住宅物业服务标准》：</w:t>
      </w:r>
    </w:p>
    <w:p>
      <w:pPr>
        <w:snapToGrid w:val="0"/>
        <w:spacing w:line="360" w:lineRule="auto"/>
        <w:ind w:firstLine="560" w:firstLineChars="200"/>
        <w:rPr>
          <w:rFonts w:ascii="仿宋_GB2312" w:hAnsi="仿宋" w:eastAsia="仿宋_GB2312" w:cs="仿宋"/>
          <w:color w:val="000000" w:themeColor="text1"/>
          <w:sz w:val="28"/>
          <w:szCs w:val="28"/>
        </w:rPr>
      </w:pPr>
      <w:r>
        <w:rPr>
          <w:rFonts w:ascii="仿宋_GB2312" w:hAnsi="仿宋" w:eastAsia="仿宋_GB2312" w:cs="仿宋"/>
          <w:color w:val="000000" w:themeColor="text1"/>
          <w:sz w:val="28"/>
          <w:szCs w:val="28"/>
        </w:rPr>
        <w:t>1.</w:t>
      </w:r>
      <w:r>
        <w:rPr>
          <w:rFonts w:hint="eastAsia" w:ascii="仿宋_GB2312" w:hAnsi="仿宋" w:eastAsia="仿宋_GB2312" w:cs="仿宋"/>
          <w:color w:val="000000" w:themeColor="text1"/>
          <w:sz w:val="28"/>
          <w:szCs w:val="28"/>
        </w:rPr>
        <w:t>应设置安全警示、</w:t>
      </w:r>
      <w:r>
        <w:rPr>
          <w:rFonts w:ascii="仿宋_GB2312" w:hAnsi="仿宋" w:eastAsia="仿宋_GB2312" w:cs="仿宋"/>
          <w:color w:val="000000" w:themeColor="text1"/>
          <w:sz w:val="28"/>
          <w:szCs w:val="28"/>
        </w:rPr>
        <w:t>作业施工警示、</w:t>
      </w:r>
      <w:r>
        <w:rPr>
          <w:rFonts w:hint="eastAsia" w:ascii="仿宋_GB2312" w:hAnsi="仿宋" w:eastAsia="仿宋_GB2312" w:cs="仿宋"/>
          <w:color w:val="000000" w:themeColor="text1"/>
          <w:sz w:val="28"/>
          <w:szCs w:val="28"/>
        </w:rPr>
        <w:t>温馨提示等物业服务标识。（一至五级）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2.物业服务企业的库房、档案室等应设置明显、完好的“严禁烟火”“禁止吸烟”标识；发现有安全风险隐患的，及时设置警示标识并告知业主。（一至五级）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3.消防设备设施、电梯、逃生通道、安全出口、有限空间等重点部位和设施设备须设置专用标识；作业施工期间应设置警示标识；绿地、水景、假山、雕塑等部位须设置温馨提示；楼宇玻璃大门应有醒目的防撞条等防护措施及警示标识；电表箱、消防箱应保持箱体、插销、表具和器材完好，设置警示标识；生活垃圾和建筑垃圾应分类堆放，并分别设置标识；窨井、污水处理池等须保持盖板完好，维修养护时应设置围护和警示标识。</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标识应清晰、完整、准确，不得遮挡、转向、涂改、移位或转为他用。（一至五级）</w:t>
      </w:r>
    </w:p>
    <w:p>
      <w:pPr>
        <w:widowControl/>
        <w:snapToGrid w:val="0"/>
        <w:jc w:val="left"/>
        <w:rPr>
          <w:rFonts w:ascii="仿宋_GB2312" w:hAnsi="Arial" w:eastAsia="仿宋_GB2312"/>
          <w:color w:val="000000" w:themeColor="text1"/>
          <w:sz w:val="32"/>
        </w:rPr>
      </w:pPr>
      <w:r>
        <w:rPr>
          <w:rFonts w:hint="eastAsia" w:ascii="仿宋_GB2312" w:eastAsia="仿宋_GB2312"/>
          <w:color w:val="000000" w:themeColor="text1"/>
        </w:rPr>
        <w:br w:type="page"/>
      </w:r>
    </w:p>
    <w:p>
      <w:pPr>
        <w:pStyle w:val="4"/>
        <w:snapToGrid w:val="0"/>
        <w:spacing w:before="312" w:after="312"/>
        <w:rPr>
          <w:color w:val="000000" w:themeColor="text1"/>
        </w:rPr>
      </w:pPr>
      <w:bookmarkStart w:id="19" w:name="_Toc150435217"/>
      <w:r>
        <w:rPr>
          <w:rFonts w:hint="eastAsia"/>
          <w:color w:val="000000" w:themeColor="text1"/>
        </w:rPr>
        <w:t>（六）物业服务客户服务合规指南</w:t>
      </w:r>
      <w:bookmarkEnd w:id="19"/>
    </w:p>
    <w:p>
      <w:pPr>
        <w:snapToGrid w:val="0"/>
        <w:spacing w:beforeLines="50" w:line="360" w:lineRule="auto"/>
        <w:ind w:firstLine="562" w:firstLineChars="200"/>
        <w:rPr>
          <w:rFonts w:ascii="仿宋_GB2312" w:eastAsia="仿宋_GB2312"/>
          <w:b/>
          <w:color w:val="000000" w:themeColor="text1"/>
        </w:rPr>
      </w:pPr>
      <w:r>
        <w:rPr>
          <w:rFonts w:hint="eastAsia" w:ascii="仿宋_GB2312" w:hAnsi="仿宋" w:eastAsia="仿宋_GB2312" w:cs="Times New Roman"/>
          <w:b/>
          <w:color w:val="000000" w:themeColor="text1"/>
          <w:sz w:val="28"/>
          <w:szCs w:val="32"/>
        </w:rPr>
        <w:t>根据《住宅物业服务标准》：</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w:t>
      </w:r>
      <w:r>
        <w:rPr>
          <w:rFonts w:ascii="仿宋_GB2312" w:hAnsi="仿宋" w:eastAsia="仿宋_GB2312" w:cs="仿宋"/>
          <w:color w:val="000000" w:themeColor="text1"/>
          <w:sz w:val="28"/>
          <w:szCs w:val="28"/>
        </w:rPr>
        <w:t>每年第一季度公示上一年度物业服务合同履行情况、收支情况、本年度收支预算。</w:t>
      </w:r>
      <w:r>
        <w:rPr>
          <w:rFonts w:hint="eastAsia" w:ascii="仿宋_GB2312" w:hAnsi="仿宋" w:eastAsia="仿宋_GB2312" w:cs="仿宋"/>
          <w:color w:val="000000" w:themeColor="text1"/>
          <w:sz w:val="28"/>
          <w:szCs w:val="28"/>
        </w:rPr>
        <w:t>（一至四级）</w:t>
      </w:r>
    </w:p>
    <w:p>
      <w:pPr>
        <w:snapToGrid w:val="0"/>
        <w:spacing w:line="360" w:lineRule="auto"/>
        <w:ind w:firstLine="560" w:firstLineChars="200"/>
        <w:rPr>
          <w:rFonts w:ascii="仿宋_GB2312" w:hAnsi="仿宋" w:eastAsia="仿宋_GB2312" w:cs="仿宋"/>
          <w:color w:val="000000" w:themeColor="text1"/>
          <w:sz w:val="28"/>
          <w:szCs w:val="28"/>
        </w:rPr>
      </w:pPr>
      <w:r>
        <w:rPr>
          <w:rFonts w:ascii="仿宋_GB2312" w:hAnsi="仿宋" w:eastAsia="仿宋_GB2312" w:cs="仿宋"/>
          <w:color w:val="000000" w:themeColor="text1"/>
          <w:sz w:val="28"/>
          <w:szCs w:val="28"/>
        </w:rPr>
        <w:t>每年第一季度公示上一年度物业服务合同履行情况、收支情况、本年度收支预算；每年第三季度公示上半年物业服务合同履行情况、收支情况。 每月公示上月主要工作计划完成情况及下月主要工作计划。</w:t>
      </w:r>
      <w:r>
        <w:rPr>
          <w:rFonts w:hint="eastAsia" w:ascii="仿宋_GB2312" w:hAnsi="仿宋" w:eastAsia="仿宋_GB2312" w:cs="仿宋"/>
          <w:color w:val="000000" w:themeColor="text1"/>
          <w:sz w:val="28"/>
          <w:szCs w:val="28"/>
        </w:rPr>
        <w:t>（五级）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2</w:t>
      </w:r>
      <w:r>
        <w:rPr>
          <w:rFonts w:ascii="仿宋_GB2312" w:hAnsi="仿宋" w:eastAsia="仿宋_GB2312" w:cs="仿宋"/>
          <w:color w:val="000000" w:themeColor="text1"/>
          <w:sz w:val="28"/>
          <w:szCs w:val="28"/>
        </w:rPr>
        <w:t>.</w:t>
      </w:r>
      <w:r>
        <w:rPr>
          <w:rFonts w:hint="eastAsia" w:ascii="仿宋_GB2312" w:hAnsi="仿宋" w:eastAsia="仿宋_GB2312" w:cs="仿宋"/>
          <w:color w:val="000000" w:themeColor="text1"/>
          <w:sz w:val="28"/>
          <w:szCs w:val="28"/>
        </w:rPr>
        <w:t>涉及业主或使用人正常生活的重要物业服务事项，物业服务企业应在主要出入口张贴通知，也可通过短信、微信、电话等方式履行告知义务。（一至五级）</w:t>
      </w:r>
    </w:p>
    <w:p>
      <w:pPr>
        <w:snapToGrid w:val="0"/>
        <w:spacing w:line="360" w:lineRule="auto"/>
        <w:ind w:firstLine="560" w:firstLineChars="200"/>
        <w:rPr>
          <w:rFonts w:ascii="仿宋_GB2312" w:hAnsi="仿宋" w:eastAsia="仿宋_GB2312" w:cs="仿宋"/>
          <w:color w:val="000000" w:themeColor="text1"/>
          <w:sz w:val="28"/>
          <w:szCs w:val="28"/>
        </w:rPr>
      </w:pPr>
      <w:r>
        <w:rPr>
          <w:rFonts w:ascii="仿宋_GB2312" w:hAnsi="仿宋" w:eastAsia="仿宋_GB2312" w:cs="仿宋"/>
          <w:color w:val="000000" w:themeColor="text1"/>
          <w:sz w:val="28"/>
          <w:szCs w:val="28"/>
        </w:rPr>
        <w:t>3</w:t>
      </w:r>
      <w:r>
        <w:rPr>
          <w:rFonts w:hint="eastAsia" w:ascii="仿宋_GB2312" w:hAnsi="仿宋" w:eastAsia="仿宋_GB2312" w:cs="仿宋"/>
          <w:color w:val="000000" w:themeColor="text1"/>
          <w:sz w:val="28"/>
          <w:szCs w:val="28"/>
        </w:rPr>
        <w:t>.对于服务范围内出现的违反治安、规划、环保等法律法规规定的行为，物业服务企业应履行及时发现、劝阻责任；劝阻无效的，及时报告相关行政主管部门。（一至五级）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4</w:t>
      </w:r>
      <w:r>
        <w:rPr>
          <w:rFonts w:ascii="仿宋_GB2312" w:hAnsi="仿宋" w:eastAsia="仿宋_GB2312" w:cs="仿宋"/>
          <w:color w:val="000000" w:themeColor="text1"/>
          <w:sz w:val="28"/>
          <w:szCs w:val="28"/>
        </w:rPr>
        <w:t xml:space="preserve">. </w:t>
      </w:r>
      <w:r>
        <w:rPr>
          <w:rFonts w:hint="eastAsia" w:ascii="仿宋_GB2312" w:hAnsi="仿宋" w:eastAsia="仿宋_GB2312" w:cs="仿宋"/>
          <w:color w:val="000000" w:themeColor="text1"/>
          <w:sz w:val="28"/>
          <w:szCs w:val="28"/>
        </w:rPr>
        <w:t>水、电急修20分钟内，其他报修按双方约定时间到达现场；由专项服务企业负责的设施设备维修应在30分钟内告知。（一至二级）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水、电急修20分钟内，其他报修按双方约定时间到达现场；由专项服务企业负责的设施设备维修应在30分钟内告知业主或使用人。</w:t>
      </w:r>
      <w:r>
        <w:rPr>
          <w:rFonts w:ascii="仿宋_GB2312" w:hAnsi="仿宋" w:eastAsia="仿宋_GB2312" w:cs="仿宋"/>
          <w:color w:val="000000" w:themeColor="text1"/>
          <w:sz w:val="28"/>
          <w:szCs w:val="28"/>
        </w:rPr>
        <w:t>报修进行回访。</w:t>
      </w:r>
      <w:r>
        <w:rPr>
          <w:rFonts w:hint="eastAsia" w:ascii="仿宋_GB2312" w:hAnsi="仿宋" w:eastAsia="仿宋_GB2312" w:cs="仿宋"/>
          <w:color w:val="000000" w:themeColor="text1"/>
          <w:sz w:val="28"/>
          <w:szCs w:val="28"/>
        </w:rPr>
        <w:t>（三级）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水、电急修</w:t>
      </w:r>
      <w:r>
        <w:rPr>
          <w:rFonts w:ascii="仿宋_GB2312" w:hAnsi="仿宋" w:eastAsia="仿宋_GB2312" w:cs="仿宋"/>
          <w:color w:val="000000" w:themeColor="text1"/>
          <w:sz w:val="28"/>
          <w:szCs w:val="28"/>
        </w:rPr>
        <w:t>20</w:t>
      </w:r>
      <w:r>
        <w:rPr>
          <w:rFonts w:hint="eastAsia" w:ascii="仿宋_GB2312" w:hAnsi="仿宋" w:eastAsia="仿宋_GB2312" w:cs="仿宋"/>
          <w:color w:val="000000" w:themeColor="text1"/>
          <w:sz w:val="28"/>
          <w:szCs w:val="28"/>
        </w:rPr>
        <w:t>分钟内，其他报修30分钟内到达现场；由专项服务企业负责的设施设备维修应在30分钟内告知业主或使用人。报修回访率不少于3</w:t>
      </w:r>
      <w:r>
        <w:rPr>
          <w:rFonts w:ascii="仿宋_GB2312" w:hAnsi="仿宋" w:eastAsia="仿宋_GB2312" w:cs="仿宋"/>
          <w:color w:val="000000" w:themeColor="text1"/>
          <w:sz w:val="28"/>
          <w:szCs w:val="28"/>
        </w:rPr>
        <w:t>0%</w:t>
      </w:r>
      <w:r>
        <w:rPr>
          <w:rFonts w:hint="eastAsia" w:ascii="仿宋_GB2312" w:hAnsi="仿宋" w:eastAsia="仿宋_GB2312" w:cs="仿宋"/>
          <w:color w:val="000000" w:themeColor="text1"/>
          <w:sz w:val="28"/>
          <w:szCs w:val="28"/>
        </w:rPr>
        <w:t>。（四级）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水、电急修1</w:t>
      </w:r>
      <w:r>
        <w:rPr>
          <w:rFonts w:ascii="仿宋_GB2312" w:hAnsi="仿宋" w:eastAsia="仿宋_GB2312" w:cs="仿宋"/>
          <w:color w:val="000000" w:themeColor="text1"/>
          <w:sz w:val="28"/>
          <w:szCs w:val="28"/>
        </w:rPr>
        <w:t>5</w:t>
      </w:r>
      <w:r>
        <w:rPr>
          <w:rFonts w:hint="eastAsia" w:ascii="仿宋_GB2312" w:hAnsi="仿宋" w:eastAsia="仿宋_GB2312" w:cs="仿宋"/>
          <w:color w:val="000000" w:themeColor="text1"/>
          <w:sz w:val="28"/>
          <w:szCs w:val="28"/>
        </w:rPr>
        <w:t>分钟内，其他报修30分钟内到达现场；由专项服务企业负责的设施设备维修应在30分钟内告知业主或使用人。报修回访率不少于3</w:t>
      </w:r>
      <w:r>
        <w:rPr>
          <w:rFonts w:ascii="仿宋_GB2312" w:hAnsi="仿宋" w:eastAsia="仿宋_GB2312" w:cs="仿宋"/>
          <w:color w:val="000000" w:themeColor="text1"/>
          <w:sz w:val="28"/>
          <w:szCs w:val="28"/>
        </w:rPr>
        <w:t>0%</w:t>
      </w:r>
      <w:r>
        <w:rPr>
          <w:rFonts w:hint="eastAsia" w:ascii="仿宋_GB2312" w:hAnsi="仿宋" w:eastAsia="仿宋_GB2312" w:cs="仿宋"/>
          <w:color w:val="000000" w:themeColor="text1"/>
          <w:sz w:val="28"/>
          <w:szCs w:val="28"/>
        </w:rPr>
        <w:t>。（五级）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4.业主或使用人提出的意见、建议、投诉在</w:t>
      </w:r>
      <w:r>
        <w:rPr>
          <w:rFonts w:ascii="仿宋_GB2312" w:hAnsi="仿宋" w:eastAsia="仿宋_GB2312" w:cs="仿宋"/>
          <w:color w:val="000000" w:themeColor="text1"/>
          <w:sz w:val="28"/>
          <w:szCs w:val="28"/>
        </w:rPr>
        <w:t>3</w:t>
      </w:r>
      <w:r>
        <w:rPr>
          <w:rFonts w:hint="eastAsia" w:ascii="仿宋_GB2312" w:hAnsi="仿宋" w:eastAsia="仿宋_GB2312" w:cs="仿宋"/>
          <w:color w:val="000000" w:themeColor="text1"/>
          <w:sz w:val="28"/>
          <w:szCs w:val="28"/>
        </w:rPr>
        <w:t>个工作日内回复。（一至二级）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业主或使用人提出的意见、建议、投诉在</w:t>
      </w:r>
      <w:r>
        <w:rPr>
          <w:rFonts w:ascii="仿宋_GB2312" w:hAnsi="仿宋" w:eastAsia="仿宋_GB2312" w:cs="仿宋"/>
          <w:color w:val="000000" w:themeColor="text1"/>
          <w:sz w:val="28"/>
          <w:szCs w:val="28"/>
        </w:rPr>
        <w:t>2</w:t>
      </w:r>
      <w:r>
        <w:rPr>
          <w:rFonts w:hint="eastAsia" w:ascii="仿宋_GB2312" w:hAnsi="仿宋" w:eastAsia="仿宋_GB2312" w:cs="仿宋"/>
          <w:color w:val="000000" w:themeColor="text1"/>
          <w:sz w:val="28"/>
          <w:szCs w:val="28"/>
        </w:rPr>
        <w:t>个工作日内回复。（三级）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业主或使用人提出的意见、建议、投诉在</w:t>
      </w:r>
      <w:r>
        <w:rPr>
          <w:rFonts w:ascii="仿宋_GB2312" w:hAnsi="仿宋" w:eastAsia="仿宋_GB2312" w:cs="仿宋"/>
          <w:color w:val="000000" w:themeColor="text1"/>
          <w:sz w:val="28"/>
          <w:szCs w:val="28"/>
        </w:rPr>
        <w:t>2</w:t>
      </w:r>
      <w:r>
        <w:rPr>
          <w:rFonts w:hint="eastAsia" w:ascii="仿宋_GB2312" w:hAnsi="仿宋" w:eastAsia="仿宋_GB2312" w:cs="仿宋"/>
          <w:color w:val="000000" w:themeColor="text1"/>
          <w:sz w:val="28"/>
          <w:szCs w:val="28"/>
        </w:rPr>
        <w:t>个工作日内回复。投诉回访率达到</w:t>
      </w:r>
      <w:r>
        <w:rPr>
          <w:rFonts w:ascii="仿宋_GB2312" w:hAnsi="仿宋" w:eastAsia="仿宋_GB2312" w:cs="仿宋"/>
          <w:color w:val="000000" w:themeColor="text1"/>
          <w:sz w:val="28"/>
          <w:szCs w:val="28"/>
        </w:rPr>
        <w:t>10</w:t>
      </w:r>
      <w:r>
        <w:rPr>
          <w:rFonts w:hint="eastAsia" w:ascii="仿宋_GB2312" w:hAnsi="仿宋" w:eastAsia="仿宋_GB2312" w:cs="仿宋"/>
          <w:color w:val="000000" w:themeColor="text1"/>
          <w:sz w:val="28"/>
          <w:szCs w:val="28"/>
        </w:rPr>
        <w:t>0%。（四级）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业主或使用人提出的意见、建议、投诉在1个工作日内回复。投诉回访率达到100%。（五级）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5.每年公开征集1次物业服务意见，公示整改情况。（一至三级）</w:t>
      </w:r>
    </w:p>
    <w:p>
      <w:pPr>
        <w:snapToGrid w:val="0"/>
        <w:spacing w:line="360" w:lineRule="auto"/>
        <w:ind w:firstLine="560" w:firstLineChars="200"/>
        <w:rPr>
          <w:rFonts w:ascii="仿宋_GB2312" w:hAnsi="仿宋" w:eastAsia="仿宋_GB2312" w:cs="仿宋"/>
          <w:color w:val="000000" w:themeColor="text1"/>
          <w:sz w:val="28"/>
          <w:szCs w:val="28"/>
        </w:rPr>
      </w:pPr>
      <w:r>
        <w:rPr>
          <w:rFonts w:ascii="仿宋_GB2312" w:hAnsi="仿宋" w:eastAsia="仿宋_GB2312" w:cs="仿宋"/>
          <w:color w:val="000000" w:themeColor="text1"/>
          <w:sz w:val="28"/>
          <w:szCs w:val="28"/>
        </w:rPr>
        <w:t>每年至少公开征集1次物业服务意见，问卷率80%以上，公示整改情况。</w:t>
      </w:r>
      <w:r>
        <w:rPr>
          <w:rFonts w:hint="eastAsia" w:ascii="仿宋_GB2312" w:hAnsi="仿宋" w:eastAsia="仿宋_GB2312" w:cs="仿宋"/>
          <w:color w:val="000000" w:themeColor="text1"/>
          <w:sz w:val="28"/>
          <w:szCs w:val="28"/>
        </w:rPr>
        <w:t>（四级）</w:t>
      </w:r>
    </w:p>
    <w:p>
      <w:pPr>
        <w:snapToGrid w:val="0"/>
        <w:spacing w:line="360" w:lineRule="auto"/>
        <w:ind w:firstLine="560" w:firstLineChars="200"/>
        <w:rPr>
          <w:rFonts w:ascii="仿宋_GB2312" w:hAnsi="仿宋" w:eastAsia="仿宋_GB2312" w:cs="仿宋"/>
          <w:color w:val="000000" w:themeColor="text1"/>
          <w:sz w:val="28"/>
          <w:szCs w:val="28"/>
        </w:rPr>
      </w:pPr>
      <w:r>
        <w:rPr>
          <w:rFonts w:ascii="仿宋_GB2312" w:hAnsi="仿宋" w:eastAsia="仿宋_GB2312" w:cs="仿宋"/>
          <w:color w:val="000000" w:themeColor="text1"/>
          <w:sz w:val="28"/>
          <w:szCs w:val="28"/>
        </w:rPr>
        <w:t>每年至少公开征集1次物业服务意见，问卷率85%以上，公示整改情况</w:t>
      </w:r>
      <w:r>
        <w:rPr>
          <w:rFonts w:hint="eastAsia" w:ascii="仿宋_GB2312" w:hAnsi="仿宋" w:eastAsia="仿宋_GB2312" w:cs="仿宋"/>
          <w:color w:val="000000" w:themeColor="text1"/>
          <w:sz w:val="28"/>
          <w:szCs w:val="28"/>
        </w:rPr>
        <w:t>。（五级）</w:t>
      </w:r>
    </w:p>
    <w:p>
      <w:pPr>
        <w:snapToGrid w:val="0"/>
        <w:spacing w:line="360" w:lineRule="auto"/>
        <w:ind w:firstLine="560" w:firstLineChars="200"/>
        <w:rPr>
          <w:rFonts w:ascii="仿宋_GB2312" w:hAnsi="仿宋" w:eastAsia="仿宋_GB2312" w:cs="仿宋"/>
          <w:color w:val="000000" w:themeColor="text1"/>
          <w:sz w:val="28"/>
          <w:szCs w:val="28"/>
        </w:rPr>
      </w:pPr>
      <w:r>
        <w:rPr>
          <w:rFonts w:ascii="仿宋_GB2312" w:hAnsi="仿宋" w:eastAsia="仿宋_GB2312" w:cs="仿宋"/>
          <w:color w:val="000000" w:themeColor="text1"/>
          <w:sz w:val="28"/>
          <w:szCs w:val="28"/>
        </w:rPr>
        <w:t>三级以上标准要求每年公开征集物业服务意见，保留征询意见问卷、满意率统计表、整改措施及实施方案、公示情况记录等资料。</w:t>
      </w:r>
    </w:p>
    <w:p>
      <w:pPr>
        <w:snapToGrid w:val="0"/>
        <w:spacing w:line="360" w:lineRule="auto"/>
        <w:ind w:firstLine="560" w:firstLineChars="200"/>
        <w:rPr>
          <w:rFonts w:ascii="仿宋_GB2312" w:hAnsi="仿宋" w:eastAsia="仿宋_GB2312" w:cs="仿宋"/>
          <w:color w:val="000000" w:themeColor="text1"/>
          <w:sz w:val="28"/>
          <w:szCs w:val="28"/>
        </w:rPr>
      </w:pPr>
      <w:r>
        <w:rPr>
          <w:rFonts w:ascii="仿宋_GB2312" w:hAnsi="仿宋" w:eastAsia="仿宋_GB2312" w:cs="仿宋"/>
          <w:color w:val="000000" w:themeColor="text1"/>
          <w:sz w:val="28"/>
          <w:szCs w:val="28"/>
        </w:rPr>
        <w:t>问卷率是指实际回收的有效问卷数量占业主数量的百分比。</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6.应配合相关部门进行公益性宣传。（一至二级）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应设置公共信息栏；配合相关部门进行公益性宣传。（三至四级）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应设置公共信息栏，每月至少更新1次；应配合相关部门进行公益性宣传。（五级）</w:t>
      </w:r>
    </w:p>
    <w:p>
      <w:pPr>
        <w:snapToGrid w:val="0"/>
        <w:spacing w:line="360" w:lineRule="auto"/>
        <w:ind w:firstLine="560" w:firstLineChars="200"/>
        <w:rPr>
          <w:rFonts w:ascii="仿宋_GB2312" w:hAnsi="仿宋" w:eastAsia="仿宋_GB2312" w:cs="仿宋"/>
          <w:color w:val="000000" w:themeColor="text1"/>
          <w:sz w:val="28"/>
          <w:szCs w:val="28"/>
        </w:rPr>
      </w:pPr>
      <w:r>
        <w:rPr>
          <w:rFonts w:ascii="仿宋_GB2312" w:hAnsi="仿宋" w:eastAsia="仿宋_GB2312" w:cs="仿宋"/>
          <w:color w:val="000000" w:themeColor="text1"/>
          <w:sz w:val="28"/>
          <w:szCs w:val="28"/>
        </w:rPr>
        <w:t>三级以上标准要求设立公共信息栏用于宣传，宣传材料应张贴有序、更新及时、保持美观。</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7.应按规定投保物业共用部位、共用设施设备及公众责任保险。（一至五级）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8.</w:t>
      </w:r>
      <w:r>
        <w:rPr>
          <w:rFonts w:ascii="仿宋_GB2312" w:hAnsi="仿宋" w:eastAsia="仿宋_GB2312" w:cs="仿宋"/>
          <w:color w:val="000000" w:themeColor="text1"/>
          <w:sz w:val="28"/>
          <w:szCs w:val="28"/>
        </w:rPr>
        <w:t>每月组织1次项目服务质量检查，重要节假日前组织安全检查</w:t>
      </w:r>
      <w:r>
        <w:rPr>
          <w:rFonts w:hint="eastAsia" w:ascii="仿宋_GB2312" w:hAnsi="仿宋" w:eastAsia="仿宋_GB2312" w:cs="仿宋"/>
          <w:color w:val="000000" w:themeColor="text1"/>
          <w:sz w:val="28"/>
          <w:szCs w:val="28"/>
        </w:rPr>
        <w:t>。（三至五级）</w:t>
      </w:r>
    </w:p>
    <w:p>
      <w:pPr>
        <w:snapToGrid w:val="0"/>
        <w:spacing w:line="360" w:lineRule="auto"/>
        <w:ind w:firstLine="560" w:firstLineChars="200"/>
        <w:rPr>
          <w:rFonts w:ascii="仿宋_GB2312" w:hAnsi="仿宋" w:eastAsia="仿宋_GB2312" w:cs="仿宋"/>
          <w:color w:val="000000" w:themeColor="text1"/>
          <w:sz w:val="28"/>
          <w:szCs w:val="28"/>
        </w:rPr>
      </w:pPr>
      <w:r>
        <w:rPr>
          <w:rFonts w:ascii="仿宋_GB2312" w:hAnsi="仿宋" w:eastAsia="仿宋_GB2312" w:cs="仿宋"/>
          <w:color w:val="000000" w:themeColor="text1"/>
          <w:sz w:val="28"/>
          <w:szCs w:val="28"/>
        </w:rPr>
        <w:t>三级以上标准要求每月检查 1 次物业服务质量，重要节假前组织房屋及共用设施设备检查、消防安全检查等，对发现的问题、整改措施、整改结果等进行记录。</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9.每年组织业主参观共用设施设备机房。（三至五级）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10.应每年至少组织</w:t>
      </w:r>
      <w:r>
        <w:rPr>
          <w:rFonts w:ascii="仿宋_GB2312" w:hAnsi="仿宋" w:eastAsia="仿宋_GB2312" w:cs="仿宋"/>
          <w:color w:val="000000" w:themeColor="text1"/>
          <w:sz w:val="28"/>
          <w:szCs w:val="28"/>
        </w:rPr>
        <w:t>1</w:t>
      </w:r>
      <w:r>
        <w:rPr>
          <w:rFonts w:hint="eastAsia" w:ascii="仿宋_GB2312" w:hAnsi="仿宋" w:eastAsia="仿宋_GB2312" w:cs="仿宋"/>
          <w:color w:val="000000" w:themeColor="text1"/>
          <w:sz w:val="28"/>
          <w:szCs w:val="28"/>
        </w:rPr>
        <w:t>次社区文化活动。（三级）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应每年至少组织</w:t>
      </w:r>
      <w:r>
        <w:rPr>
          <w:rFonts w:ascii="仿宋_GB2312" w:hAnsi="仿宋" w:eastAsia="仿宋_GB2312" w:cs="仿宋"/>
          <w:color w:val="000000" w:themeColor="text1"/>
          <w:sz w:val="28"/>
          <w:szCs w:val="28"/>
        </w:rPr>
        <w:t>2</w:t>
      </w:r>
      <w:r>
        <w:rPr>
          <w:rFonts w:hint="eastAsia" w:ascii="仿宋_GB2312" w:hAnsi="仿宋" w:eastAsia="仿宋_GB2312" w:cs="仿宋"/>
          <w:color w:val="000000" w:themeColor="text1"/>
          <w:sz w:val="28"/>
          <w:szCs w:val="28"/>
        </w:rPr>
        <w:t>次社区文化活动。（四级）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应每年至少组织</w:t>
      </w:r>
      <w:r>
        <w:rPr>
          <w:rFonts w:ascii="仿宋_GB2312" w:hAnsi="仿宋" w:eastAsia="仿宋_GB2312" w:cs="仿宋"/>
          <w:color w:val="000000" w:themeColor="text1"/>
          <w:sz w:val="28"/>
          <w:szCs w:val="28"/>
        </w:rPr>
        <w:t>3</w:t>
      </w:r>
      <w:r>
        <w:rPr>
          <w:rFonts w:hint="eastAsia" w:ascii="仿宋_GB2312" w:hAnsi="仿宋" w:eastAsia="仿宋_GB2312" w:cs="仿宋"/>
          <w:color w:val="000000" w:themeColor="text1"/>
          <w:sz w:val="28"/>
          <w:szCs w:val="28"/>
        </w:rPr>
        <w:t>次社区文化活动。（五级）</w:t>
      </w:r>
    </w:p>
    <w:p>
      <w:pPr>
        <w:snapToGrid w:val="0"/>
        <w:spacing w:line="360" w:lineRule="auto"/>
        <w:ind w:firstLine="560" w:firstLineChars="200"/>
        <w:rPr>
          <w:rFonts w:ascii="仿宋_GB2312" w:hAnsi="仿宋" w:eastAsia="仿宋_GB2312" w:cs="仿宋"/>
          <w:color w:val="000000" w:themeColor="text1"/>
          <w:sz w:val="28"/>
          <w:szCs w:val="28"/>
        </w:rPr>
      </w:pPr>
      <w:r>
        <w:rPr>
          <w:rFonts w:ascii="仿宋_GB2312" w:hAnsi="仿宋" w:eastAsia="仿宋_GB2312" w:cs="仿宋"/>
          <w:color w:val="000000" w:themeColor="text1"/>
          <w:sz w:val="28"/>
          <w:szCs w:val="28"/>
        </w:rPr>
        <w:t>三级以上标准要求组织社区文化活动，并应充分考虑活动中可能存在的风险，避免发生意外。</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11.重要节日可以进行美化装饰。（四至五级）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12.可与业主另行约定，提供特约增值服务。（三至五级）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13.为客户提供相关便民物资。（四至五级）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　</w:t>
      </w:r>
    </w:p>
    <w:p>
      <w:pPr>
        <w:widowControl/>
        <w:snapToGrid w:val="0"/>
        <w:jc w:val="left"/>
        <w:rPr>
          <w:rFonts w:ascii="仿宋_GB2312" w:hAnsi="Arial" w:eastAsia="仿宋_GB2312"/>
          <w:color w:val="000000" w:themeColor="text1"/>
          <w:sz w:val="32"/>
        </w:rPr>
      </w:pPr>
      <w:r>
        <w:rPr>
          <w:rFonts w:hint="eastAsia" w:ascii="仿宋_GB2312" w:eastAsia="仿宋_GB2312"/>
          <w:color w:val="000000" w:themeColor="text1"/>
        </w:rPr>
        <w:br w:type="page"/>
      </w:r>
    </w:p>
    <w:p>
      <w:pPr>
        <w:pStyle w:val="4"/>
        <w:snapToGrid w:val="0"/>
        <w:spacing w:before="312" w:after="312"/>
        <w:rPr>
          <w:color w:val="000000" w:themeColor="text1"/>
        </w:rPr>
      </w:pPr>
      <w:bookmarkStart w:id="20" w:name="_Toc150435218"/>
      <w:r>
        <w:rPr>
          <w:rFonts w:hint="eastAsia"/>
          <w:color w:val="000000" w:themeColor="text1"/>
        </w:rPr>
        <w:t>（七）物业服务专项服务委托合规指南</w:t>
      </w:r>
      <w:bookmarkEnd w:id="20"/>
    </w:p>
    <w:p>
      <w:pPr>
        <w:snapToGrid w:val="0"/>
        <w:spacing w:beforeLines="50" w:line="360" w:lineRule="auto"/>
        <w:ind w:firstLine="562" w:firstLineChars="200"/>
        <w:rPr>
          <w:rFonts w:ascii="仿宋_GB2312" w:eastAsia="仿宋_GB2312"/>
          <w:color w:val="000000" w:themeColor="text1"/>
        </w:rPr>
      </w:pPr>
      <w:r>
        <w:rPr>
          <w:rFonts w:hint="eastAsia" w:ascii="仿宋_GB2312" w:hAnsi="仿宋" w:eastAsia="仿宋_GB2312" w:cs="Times New Roman"/>
          <w:b/>
          <w:color w:val="000000" w:themeColor="text1"/>
          <w:sz w:val="28"/>
          <w:szCs w:val="32"/>
        </w:rPr>
        <w:t>根据《住宅物业服务标准》：</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1.物业服务企业需要</w:t>
      </w:r>
      <w:bookmarkStart w:id="21" w:name="_Hlk147907818"/>
      <w:r>
        <w:rPr>
          <w:rFonts w:hint="eastAsia" w:ascii="仿宋_GB2312" w:hAnsi="仿宋" w:eastAsia="仿宋_GB2312" w:cs="仿宋"/>
          <w:color w:val="000000" w:themeColor="text1"/>
          <w:sz w:val="28"/>
          <w:szCs w:val="28"/>
        </w:rPr>
        <w:t>专项服务</w:t>
      </w:r>
      <w:bookmarkEnd w:id="21"/>
      <w:r>
        <w:rPr>
          <w:rFonts w:hint="eastAsia" w:ascii="仿宋_GB2312" w:hAnsi="仿宋" w:eastAsia="仿宋_GB2312" w:cs="仿宋"/>
          <w:color w:val="000000" w:themeColor="text1"/>
          <w:sz w:val="28"/>
          <w:szCs w:val="28"/>
        </w:rPr>
        <w:t>委托的，应</w:t>
      </w:r>
      <w:r>
        <w:rPr>
          <w:rFonts w:ascii="仿宋_GB2312" w:hAnsi="仿宋" w:eastAsia="仿宋_GB2312" w:cs="仿宋"/>
          <w:color w:val="000000" w:themeColor="text1"/>
          <w:sz w:val="28"/>
          <w:szCs w:val="28"/>
        </w:rPr>
        <w:t>建立专项服务委托管理制度，对共用设施设备维修养护、环境卫生、公共秩序维护等专项服务企业的资质、操作人员的职业资格证书进行确认，</w:t>
      </w:r>
      <w:r>
        <w:rPr>
          <w:rFonts w:hint="eastAsia" w:ascii="仿宋_GB2312" w:hAnsi="仿宋" w:eastAsia="仿宋_GB2312" w:cs="仿宋"/>
          <w:color w:val="000000" w:themeColor="text1"/>
          <w:sz w:val="28"/>
          <w:szCs w:val="28"/>
        </w:rPr>
        <w:t>与专项服务企业订立专项服务委托合同及安全生产协议，明确各方权利义务</w:t>
      </w:r>
      <w:r>
        <w:rPr>
          <w:rFonts w:ascii="仿宋_GB2312" w:hAnsi="仿宋" w:eastAsia="仿宋_GB2312" w:cs="仿宋"/>
          <w:color w:val="000000" w:themeColor="text1"/>
          <w:sz w:val="28"/>
          <w:szCs w:val="28"/>
        </w:rPr>
        <w:t>。</w:t>
      </w:r>
      <w:r>
        <w:rPr>
          <w:rFonts w:hint="eastAsia" w:ascii="仿宋_GB2312" w:hAnsi="仿宋" w:eastAsia="仿宋_GB2312" w:cs="仿宋"/>
          <w:color w:val="000000" w:themeColor="text1"/>
          <w:sz w:val="28"/>
          <w:szCs w:val="28"/>
        </w:rPr>
        <w:t>（一至五级）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2.电梯、消防等具有专业资质要求的设施设备的维修和养护，应由具有资质的专业机构或者人员实施。其中涉及到电梯作业、有限空间作业、高空作业、压力容器操作等危险作业的，物业服务企业应在委托工作实施前进行安全技术交底工作，并履行相应的审批手续。（一至五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3.专项服务企业人员佩戴标识。（一至二级）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专项服务企业人员统一着装，佩戴标识。（三至五级）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4.对专项服务进行监督及评价。（一至五级）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5.制定检查计划，对不合格项实施整改，并定期汇总。（一至五级）</w:t>
      </w:r>
    </w:p>
    <w:p>
      <w:pPr>
        <w:pStyle w:val="47"/>
        <w:snapToGrid w:val="0"/>
        <w:rPr>
          <w:color w:val="000000" w:themeColor="text1"/>
        </w:rPr>
      </w:pPr>
    </w:p>
    <w:p>
      <w:pPr>
        <w:widowControl/>
        <w:snapToGrid w:val="0"/>
        <w:jc w:val="left"/>
        <w:rPr>
          <w:rFonts w:ascii="仿宋_GB2312" w:hAnsi="Arial" w:eastAsia="仿宋_GB2312"/>
          <w:color w:val="000000" w:themeColor="text1"/>
          <w:sz w:val="32"/>
        </w:rPr>
      </w:pPr>
      <w:r>
        <w:rPr>
          <w:rFonts w:hint="eastAsia" w:ascii="仿宋_GB2312" w:eastAsia="仿宋_GB2312"/>
          <w:color w:val="000000" w:themeColor="text1"/>
        </w:rPr>
        <w:br w:type="page"/>
      </w:r>
    </w:p>
    <w:p>
      <w:pPr>
        <w:pStyle w:val="4"/>
        <w:snapToGrid w:val="0"/>
        <w:spacing w:before="312" w:after="312"/>
        <w:rPr>
          <w:color w:val="000000" w:themeColor="text1"/>
        </w:rPr>
      </w:pPr>
      <w:bookmarkStart w:id="22" w:name="_Toc150435219"/>
      <w:r>
        <w:rPr>
          <w:rFonts w:hint="eastAsia"/>
          <w:color w:val="000000" w:themeColor="text1"/>
        </w:rPr>
        <w:t>（八）物业服务装饰装修管理合规指南</w:t>
      </w:r>
      <w:bookmarkEnd w:id="22"/>
    </w:p>
    <w:p>
      <w:pPr>
        <w:snapToGrid w:val="0"/>
        <w:spacing w:beforeLines="50" w:line="360" w:lineRule="auto"/>
        <w:ind w:firstLine="562" w:firstLineChars="200"/>
        <w:rPr>
          <w:rFonts w:ascii="仿宋_GB2312" w:hAnsi="仿宋" w:eastAsia="仿宋_GB2312" w:cs="仿宋"/>
          <w:b/>
          <w:color w:val="000000" w:themeColor="text1"/>
          <w:sz w:val="28"/>
          <w:szCs w:val="28"/>
        </w:rPr>
      </w:pPr>
      <w:r>
        <w:rPr>
          <w:rFonts w:hint="eastAsia" w:ascii="仿宋_GB2312" w:hAnsi="仿宋" w:eastAsia="仿宋_GB2312" w:cs="仿宋"/>
          <w:b/>
          <w:color w:val="000000" w:themeColor="text1"/>
          <w:sz w:val="28"/>
          <w:szCs w:val="28"/>
        </w:rPr>
        <w:t>根据《住宅室内装饰装修管理办法》（中华人民共和国建设部令第110号）：</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物业服务企业应做到以下五点：</w:t>
      </w:r>
      <w:r>
        <w:rPr>
          <w:rFonts w:ascii="仿宋_GB2312" w:hAnsi="仿宋" w:eastAsia="仿宋_GB2312" w:cs="仿宋"/>
          <w:color w:val="000000" w:themeColor="text1"/>
          <w:sz w:val="28"/>
          <w:szCs w:val="28"/>
        </w:rPr>
        <w:t xml:space="preserve"> </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（1）物业服务企业应当受理业主或使用人的装饰装修申报登记。</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（2）物业服务企业应当将住宅室内装饰装修工程的禁止行为和注意事项告知装修人和装修人委托的装饰装修企业。</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3）装修人，或者装修人和装饰装修企业，应当与物业服务企业签订住宅室内装饰装修管理服务协议，协议应当包括装饰装修工程的实施内容、实施期限、允许施工的时间、废弃物的清运与处置、住宅外立面设施及防盗窗的安装要求、禁止行为和注意事项等。</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（4）禁止物业服务企业向装修人指派装饰装修企业或者强行推销装饰装修材料。</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（5）物业服务企业应当按照装饰装修管理服务协议进行现场检查，对违反法律法规和装饰装修管理服务协议的，应当要求装修人和装饰装修企业纠正，并将检查记录存档。</w:t>
      </w:r>
    </w:p>
    <w:p>
      <w:pPr>
        <w:snapToGrid w:val="0"/>
        <w:spacing w:beforeLines="50" w:line="360" w:lineRule="auto"/>
        <w:ind w:firstLine="562" w:firstLineChars="200"/>
        <w:rPr>
          <w:rFonts w:ascii="仿宋_GB2312" w:eastAsia="仿宋_GB2312"/>
          <w:b/>
          <w:color w:val="000000" w:themeColor="text1"/>
        </w:rPr>
      </w:pPr>
      <w:r>
        <w:rPr>
          <w:rFonts w:hint="eastAsia" w:ascii="仿宋_GB2312" w:hAnsi="仿宋" w:eastAsia="仿宋_GB2312" w:cs="Times New Roman"/>
          <w:b/>
          <w:color w:val="000000" w:themeColor="text1"/>
          <w:sz w:val="28"/>
          <w:szCs w:val="32"/>
        </w:rPr>
        <w:t>根据《住宅物业服务标准》：</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1.物业服务企业应建立装饰装修管理服务制度。（一至五级）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2.物业服务企业应建立装饰装修管理档案。（一至五级）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3.受理业主或使用人的装饰装修申报登记，与业主或使用人、装饰装修企业签订住宅室内装饰装修管理服务协议，告知业主或使用人在装饰装修工程中的禁止行为和注意事项。（一至五级）</w:t>
      </w:r>
    </w:p>
    <w:p>
      <w:pPr>
        <w:snapToGrid w:val="0"/>
        <w:spacing w:line="360" w:lineRule="auto"/>
        <w:ind w:firstLine="560" w:firstLineChars="200"/>
        <w:rPr>
          <w:rFonts w:ascii="仿宋_GB2312" w:hAnsi="仿宋" w:eastAsia="仿宋_GB2312" w:cs="仿宋"/>
          <w:color w:val="000000" w:themeColor="text1"/>
          <w:sz w:val="28"/>
          <w:szCs w:val="28"/>
        </w:rPr>
      </w:pPr>
      <w:r>
        <w:rPr>
          <w:rFonts w:ascii="仿宋_GB2312" w:hAnsi="仿宋" w:eastAsia="仿宋_GB2312" w:cs="仿宋"/>
          <w:color w:val="000000" w:themeColor="text1"/>
          <w:sz w:val="28"/>
          <w:szCs w:val="28"/>
        </w:rPr>
        <w:t>4.</w:t>
      </w:r>
      <w:r>
        <w:rPr>
          <w:rFonts w:hint="eastAsia" w:ascii="仿宋_GB2312" w:hAnsi="仿宋" w:eastAsia="仿宋_GB2312" w:cs="仿宋"/>
          <w:color w:val="000000" w:themeColor="text1"/>
          <w:sz w:val="28"/>
          <w:szCs w:val="28"/>
        </w:rPr>
        <w:t>装饰装修期间每日巡查1次现场并填写巡视记录，发现业主或者物业使用人未签订装饰装修服务协议或者违反相关规定及装饰装修服务协议的，物业服务人应当及时劝阻；拒不改正的，物业服务人应当及时向相关行政主管部门及业主、业委会报告，并在物业管理区域内公示。（一至五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5</w:t>
      </w:r>
      <w:r>
        <w:rPr>
          <w:rFonts w:ascii="仿宋_GB2312" w:hAnsi="仿宋" w:eastAsia="仿宋_GB2312" w:cs="仿宋"/>
          <w:color w:val="000000" w:themeColor="text1"/>
          <w:sz w:val="28"/>
          <w:szCs w:val="28"/>
        </w:rPr>
        <w:t>.</w:t>
      </w:r>
      <w:r>
        <w:rPr>
          <w:rFonts w:hint="eastAsia" w:ascii="仿宋_GB2312" w:hAnsi="仿宋" w:eastAsia="仿宋_GB2312" w:cs="仿宋"/>
          <w:color w:val="000000" w:themeColor="text1"/>
          <w:sz w:val="28"/>
          <w:szCs w:val="28"/>
        </w:rPr>
        <w:t>装饰装修结束后进行检查，对违反住宅室内装饰装修管理服务协议的当事人按照约定处理。（一至五级）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6</w:t>
      </w:r>
      <w:r>
        <w:rPr>
          <w:rFonts w:ascii="仿宋_GB2312" w:hAnsi="仿宋" w:eastAsia="仿宋_GB2312" w:cs="仿宋"/>
          <w:color w:val="000000" w:themeColor="text1"/>
          <w:sz w:val="28"/>
          <w:szCs w:val="28"/>
        </w:rPr>
        <w:t>.</w:t>
      </w:r>
      <w:r>
        <w:rPr>
          <w:rFonts w:hint="eastAsia" w:ascii="仿宋_GB2312" w:hAnsi="仿宋" w:eastAsia="仿宋_GB2312" w:cs="仿宋"/>
          <w:color w:val="000000" w:themeColor="text1"/>
          <w:sz w:val="28"/>
          <w:szCs w:val="28"/>
        </w:rPr>
        <w:t>委托清运装修垃圾的，应在指定地点临时堆放，采取围挡、遮盖措施，在2日内清运。</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自行清运装修垃圾的，应采用袋装运输或密闭运输的方式，在2日内清运。（一至五级）</w:t>
      </w:r>
    </w:p>
    <w:p>
      <w:pPr>
        <w:snapToGrid w:val="0"/>
        <w:spacing w:beforeLines="50" w:line="360" w:lineRule="auto"/>
        <w:ind w:firstLine="562" w:firstLineChars="200"/>
        <w:rPr>
          <w:rFonts w:ascii="仿宋_GB2312" w:hAnsi="仿宋" w:eastAsia="仿宋_GB2312" w:cs="仿宋"/>
          <w:b/>
          <w:color w:val="000000" w:themeColor="text1"/>
          <w:sz w:val="28"/>
          <w:szCs w:val="28"/>
        </w:rPr>
      </w:pPr>
      <w:r>
        <w:rPr>
          <w:rFonts w:hint="eastAsia" w:ascii="仿宋_GB2312" w:hAnsi="仿宋" w:eastAsia="仿宋_GB2312" w:cs="仿宋"/>
          <w:b/>
          <w:color w:val="000000" w:themeColor="text1"/>
          <w:sz w:val="28"/>
          <w:szCs w:val="28"/>
        </w:rPr>
        <w:t>根据《关于进一步加强建筑垃圾治理工作的通知》（京建法〔2018〕5号）：</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w:t>
      </w:r>
      <w:r>
        <w:rPr>
          <w:rFonts w:ascii="仿宋_GB2312" w:hAnsi="仿宋" w:eastAsia="仿宋_GB2312" w:cs="仿宋"/>
          <w:color w:val="000000" w:themeColor="text1"/>
          <w:sz w:val="28"/>
          <w:szCs w:val="28"/>
        </w:rPr>
        <w:t>.</w:t>
      </w:r>
      <w:r>
        <w:rPr>
          <w:rFonts w:hint="eastAsia" w:ascii="仿宋_GB2312" w:hAnsi="仿宋" w:eastAsia="仿宋_GB2312" w:cs="仿宋"/>
          <w:color w:val="000000" w:themeColor="text1"/>
          <w:sz w:val="28"/>
          <w:szCs w:val="28"/>
        </w:rPr>
        <w:t>实施物业管理的居民住宅小区，居民装修垃圾应当由物业服务企业统一清运，业主、装饰装修企业不得自行清运。物业服务企业受托清运居民装修垃圾，应当明码标价并选择具有经营许可的运输企业，与运输企业签订委托清运合同，与消纳场签订处置协议，并依法取得消纳证。物业服务企业不得允许无经营许可运输企业的运输车辆进入物业管理区域收集或运输居民装修垃圾。</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2</w:t>
      </w:r>
      <w:r>
        <w:rPr>
          <w:rFonts w:ascii="仿宋_GB2312" w:hAnsi="仿宋" w:eastAsia="仿宋_GB2312" w:cs="仿宋"/>
          <w:color w:val="000000" w:themeColor="text1"/>
          <w:sz w:val="28"/>
          <w:szCs w:val="28"/>
        </w:rPr>
        <w:t>.</w:t>
      </w:r>
      <w:r>
        <w:rPr>
          <w:rFonts w:hint="eastAsia" w:ascii="仿宋_GB2312" w:hAnsi="仿宋" w:eastAsia="仿宋_GB2312" w:cs="仿宋"/>
          <w:color w:val="000000" w:themeColor="text1"/>
          <w:sz w:val="28"/>
          <w:szCs w:val="28"/>
        </w:rPr>
        <w:t>关于装修垃圾，物业服务企业须做到以下几点：</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（1）加强居民装修垃圾的日常管理，在物业管理区域内设立居民装修垃圾暂存点，设置明显标识。</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（2）督促业主、装饰装修企业按照袋装方式，投放居民装修垃圾，每周组织清运不少于1次。</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（3）居民装修垃圾不得与有害垃圾、厨余垃圾、可再生资源和其他生活垃圾混装混运。</w:t>
      </w:r>
    </w:p>
    <w:p>
      <w:pPr>
        <w:pStyle w:val="23"/>
        <w:shd w:val="clear" w:color="auto" w:fill="FFFFFF"/>
        <w:snapToGrid w:val="0"/>
        <w:spacing w:beforeLines="50" w:beforeAutospacing="0" w:after="0" w:afterAutospacing="0" w:line="360" w:lineRule="auto"/>
        <w:ind w:firstLine="562" w:firstLineChars="200"/>
        <w:jc w:val="both"/>
        <w:rPr>
          <w:rFonts w:ascii="仿宋_GB2312" w:hAnsi="仿宋" w:eastAsia="仿宋_GB2312" w:cs="仿宋"/>
          <w:b/>
          <w:color w:val="000000" w:themeColor="text1"/>
          <w:sz w:val="28"/>
          <w:szCs w:val="28"/>
        </w:rPr>
      </w:pPr>
      <w:r>
        <w:rPr>
          <w:rFonts w:hint="eastAsia" w:ascii="仿宋_GB2312" w:hAnsi="仿宋" w:eastAsia="仿宋_GB2312" w:cs="仿宋"/>
          <w:b/>
          <w:color w:val="000000" w:themeColor="text1"/>
          <w:sz w:val="28"/>
          <w:szCs w:val="28"/>
        </w:rPr>
        <w:t>根据</w:t>
      </w:r>
      <w:r>
        <w:rPr>
          <w:rFonts w:hint="eastAsia" w:ascii="仿宋_GB2312" w:hAnsi="仿宋" w:eastAsia="仿宋_GB2312" w:cs="仿宋"/>
          <w:b/>
          <w:color w:val="000000" w:themeColor="text1"/>
          <w:kern w:val="2"/>
          <w:sz w:val="28"/>
          <w:szCs w:val="28"/>
        </w:rPr>
        <w:t>《关于进一步规范住宅物业管理项目生活垃圾和住宅室内装饰装修相关收费的通知</w:t>
      </w:r>
      <w:r>
        <w:rPr>
          <w:rFonts w:hint="eastAsia" w:ascii="仿宋_GB2312" w:hAnsi="仿宋" w:eastAsia="仿宋_GB2312" w:cs="仿宋"/>
          <w:b/>
          <w:color w:val="000000" w:themeColor="text1"/>
          <w:sz w:val="28"/>
          <w:szCs w:val="28"/>
        </w:rPr>
        <w:t>》（京建发〔2023〕277号）：</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住宅物业管理项目的物业服务企业不得向业主或者物业使用人收取或者变相收取住宅室内装饰装修管理服务费和住宅室内装饰装修保证金（含装修押金）。</w:t>
      </w:r>
    </w:p>
    <w:p>
      <w:pPr>
        <w:snapToGrid w:val="0"/>
        <w:spacing w:beforeLines="50" w:line="360" w:lineRule="auto"/>
        <w:ind w:firstLine="562" w:firstLineChars="200"/>
        <w:rPr>
          <w:rFonts w:ascii="仿宋_GB2312" w:hAnsi="仿宋" w:eastAsia="仿宋_GB2312" w:cs="仿宋"/>
          <w:b/>
          <w:color w:val="000000" w:themeColor="text1"/>
          <w:sz w:val="40"/>
          <w:szCs w:val="28"/>
        </w:rPr>
      </w:pPr>
      <w:r>
        <w:rPr>
          <w:rFonts w:hint="eastAsia" w:ascii="仿宋_GB2312" w:eastAsia="仿宋_GB2312"/>
          <w:b/>
          <w:color w:val="000000" w:themeColor="text1"/>
          <w:sz w:val="28"/>
        </w:rPr>
        <w:t>风险提示</w:t>
      </w:r>
    </w:p>
    <w:p>
      <w:pPr>
        <w:pStyle w:val="23"/>
        <w:shd w:val="clear" w:color="auto" w:fill="FFFFFF"/>
        <w:snapToGrid w:val="0"/>
        <w:spacing w:beforeLines="50" w:beforeAutospacing="0" w:after="0" w:afterAutospacing="0" w:line="360" w:lineRule="auto"/>
        <w:ind w:firstLine="560"/>
        <w:jc w:val="both"/>
        <w:rPr>
          <w:rFonts w:ascii="仿宋_GB2312" w:hAnsi="仿宋" w:eastAsia="仿宋_GB2312" w:cs="仿宋"/>
          <w:b/>
          <w:color w:val="000000" w:themeColor="text1"/>
          <w:sz w:val="28"/>
          <w:szCs w:val="28"/>
        </w:rPr>
      </w:pPr>
      <w:r>
        <w:rPr>
          <w:rFonts w:hint="eastAsia" w:ascii="仿宋_GB2312" w:hAnsi="仿宋" w:eastAsia="仿宋_GB2312" w:cs="仿宋"/>
          <w:b/>
          <w:color w:val="000000" w:themeColor="text1"/>
          <w:sz w:val="28"/>
          <w:szCs w:val="28"/>
        </w:rPr>
        <w:t>《关于进一步加强建筑垃圾治理工作的通知》：</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对物业服务企业未按照相关要求履行建筑垃圾管理职责的，住房城乡建设部门可视情节轻重，采取以下处理措施：进行全市通报批评；进行记分处理；在物业管理曝光平台记录。</w:t>
      </w:r>
    </w:p>
    <w:p>
      <w:pPr>
        <w:widowControl/>
        <w:snapToGrid w:val="0"/>
        <w:jc w:val="left"/>
        <w:rPr>
          <w:rFonts w:ascii="仿宋_GB2312" w:hAnsi="Arial" w:eastAsia="仿宋_GB2312"/>
          <w:color w:val="000000" w:themeColor="text1"/>
          <w:sz w:val="32"/>
        </w:rPr>
      </w:pPr>
      <w:r>
        <w:rPr>
          <w:rFonts w:hint="eastAsia" w:ascii="仿宋_GB2312" w:eastAsia="仿宋_GB2312"/>
          <w:color w:val="000000" w:themeColor="text1"/>
        </w:rPr>
        <w:br w:type="page"/>
      </w:r>
    </w:p>
    <w:p>
      <w:pPr>
        <w:pStyle w:val="4"/>
        <w:snapToGrid w:val="0"/>
        <w:spacing w:before="312" w:after="312"/>
        <w:rPr>
          <w:color w:val="000000" w:themeColor="text1"/>
        </w:rPr>
      </w:pPr>
      <w:bookmarkStart w:id="23" w:name="_Toc150435220"/>
      <w:r>
        <w:rPr>
          <w:rFonts w:hint="eastAsia"/>
          <w:color w:val="000000" w:themeColor="text1"/>
        </w:rPr>
        <w:t>（九）承接查验合规指南</w:t>
      </w:r>
      <w:bookmarkEnd w:id="23"/>
    </w:p>
    <w:p>
      <w:pPr>
        <w:widowControl/>
        <w:wordWrap w:val="0"/>
        <w:spacing w:line="420" w:lineRule="atLeast"/>
        <w:ind w:firstLine="562" w:firstLineChars="200"/>
        <w:rPr>
          <w:rFonts w:ascii="仿宋_GB2312" w:hAnsi="仿宋" w:eastAsia="仿宋_GB2312" w:cs="Times New Roman"/>
          <w:b/>
          <w:color w:val="000000" w:themeColor="text1"/>
          <w:sz w:val="28"/>
          <w:szCs w:val="32"/>
        </w:rPr>
      </w:pPr>
      <w:r>
        <w:rPr>
          <w:rFonts w:hint="eastAsia" w:ascii="仿宋_GB2312" w:hAnsi="仿宋" w:eastAsia="仿宋_GB2312" w:cs="Times New Roman"/>
          <w:b/>
          <w:color w:val="000000" w:themeColor="text1"/>
          <w:sz w:val="28"/>
          <w:szCs w:val="32"/>
        </w:rPr>
        <w:t>根据《承接查验办法》（建房〔2010〕165号）</w:t>
      </w:r>
    </w:p>
    <w:p>
      <w:pPr>
        <w:pStyle w:val="47"/>
        <w:snapToGrid w:val="0"/>
        <w:spacing w:after="0" w:line="360" w:lineRule="auto"/>
        <w:ind w:left="0" w:leftChars="0" w:firstLine="560"/>
        <w:rPr>
          <w:rFonts w:ascii="仿宋_GB2312" w:hAnsi="仿宋" w:eastAsia="仿宋_GB2312" w:cs="仿宋"/>
          <w:color w:val="000000" w:themeColor="text1"/>
          <w:sz w:val="28"/>
          <w:szCs w:val="28"/>
        </w:rPr>
      </w:pPr>
      <w:r>
        <w:rPr>
          <w:rFonts w:hint="eastAsia" w:ascii="仿宋_GB2312" w:hAnsi="仿宋" w:eastAsia="仿宋_GB2312" w:cs="仿宋"/>
          <w:bCs/>
          <w:color w:val="000000" w:themeColor="text1"/>
          <w:sz w:val="28"/>
          <w:szCs w:val="28"/>
        </w:rPr>
        <w:t>1</w:t>
      </w:r>
      <w:r>
        <w:rPr>
          <w:rFonts w:ascii="仿宋_GB2312" w:hAnsi="仿宋" w:eastAsia="仿宋_GB2312" w:cs="仿宋"/>
          <w:bCs/>
          <w:color w:val="000000" w:themeColor="text1"/>
          <w:sz w:val="28"/>
          <w:szCs w:val="28"/>
        </w:rPr>
        <w:t>.</w:t>
      </w:r>
      <w:r>
        <w:rPr>
          <w:rFonts w:hint="eastAsia" w:ascii="仿宋_GB2312" w:hAnsi="仿宋" w:eastAsia="仿宋_GB2312" w:cs="仿宋"/>
          <w:color w:val="000000" w:themeColor="text1"/>
          <w:sz w:val="28"/>
          <w:szCs w:val="28"/>
        </w:rPr>
        <w:t>本办法所称物业承接查验，是指承接新建物业前，物业服务企业和建设单位按照国家有关规定和前期物业服务合同的约定，共同对物业共用部位、共用设施设备进行检查和验收的活动。</w:t>
      </w:r>
    </w:p>
    <w:p>
      <w:pPr>
        <w:pStyle w:val="23"/>
        <w:shd w:val="clear" w:color="auto" w:fill="FFFFFF"/>
        <w:snapToGrid w:val="0"/>
        <w:spacing w:before="0" w:beforeAutospacing="0" w:after="0" w:afterAutospacing="0" w:line="360" w:lineRule="auto"/>
        <w:ind w:firstLine="560" w:firstLineChars="200"/>
        <w:rPr>
          <w:rFonts w:ascii="仿宋_GB2312" w:hAnsi="仿宋" w:eastAsia="仿宋_GB2312" w:cs="仿宋"/>
          <w:color w:val="000000" w:themeColor="text1"/>
          <w:kern w:val="2"/>
          <w:sz w:val="28"/>
          <w:szCs w:val="28"/>
        </w:rPr>
      </w:pPr>
      <w:r>
        <w:rPr>
          <w:rFonts w:hint="eastAsia" w:ascii="仿宋_GB2312" w:hAnsi="仿宋" w:eastAsia="仿宋_GB2312" w:cs="仿宋"/>
          <w:bCs/>
          <w:color w:val="000000" w:themeColor="text1"/>
          <w:kern w:val="2"/>
          <w:sz w:val="28"/>
          <w:szCs w:val="28"/>
        </w:rPr>
        <w:t>2</w:t>
      </w:r>
      <w:r>
        <w:rPr>
          <w:rFonts w:ascii="仿宋_GB2312" w:hAnsi="仿宋" w:eastAsia="仿宋_GB2312" w:cs="仿宋"/>
          <w:bCs/>
          <w:color w:val="000000" w:themeColor="text1"/>
          <w:kern w:val="2"/>
          <w:sz w:val="28"/>
          <w:szCs w:val="28"/>
        </w:rPr>
        <w:t>.</w:t>
      </w:r>
      <w:r>
        <w:rPr>
          <w:rFonts w:hint="eastAsia" w:ascii="仿宋_GB2312" w:hAnsi="仿宋" w:eastAsia="仿宋_GB2312" w:cs="仿宋"/>
          <w:color w:val="000000" w:themeColor="text1"/>
          <w:kern w:val="2"/>
          <w:sz w:val="28"/>
          <w:szCs w:val="28"/>
        </w:rPr>
        <w:t>建设单位制定的临时管理规约，应当对全体业主同意授权物业服务企业代为查验物业共用部位、共用设施设备的事项作出约定。</w:t>
      </w:r>
    </w:p>
    <w:p>
      <w:pPr>
        <w:pStyle w:val="23"/>
        <w:shd w:val="clear" w:color="auto" w:fill="FFFFFF"/>
        <w:snapToGrid w:val="0"/>
        <w:spacing w:before="0" w:beforeAutospacing="0" w:after="0" w:afterAutospacing="0" w:line="360" w:lineRule="auto"/>
        <w:ind w:firstLine="560" w:firstLineChars="200"/>
        <w:rPr>
          <w:rFonts w:ascii="仿宋_GB2312" w:hAnsi="仿宋" w:eastAsia="仿宋_GB2312" w:cs="仿宋"/>
          <w:color w:val="000000" w:themeColor="text1"/>
          <w:kern w:val="2"/>
          <w:sz w:val="28"/>
          <w:szCs w:val="28"/>
        </w:rPr>
      </w:pPr>
      <w:r>
        <w:rPr>
          <w:rFonts w:hint="eastAsia" w:ascii="仿宋_GB2312" w:hAnsi="仿宋" w:eastAsia="仿宋_GB2312" w:cs="仿宋"/>
          <w:color w:val="000000" w:themeColor="text1"/>
          <w:kern w:val="2"/>
          <w:sz w:val="28"/>
          <w:szCs w:val="28"/>
        </w:rPr>
        <w:t>3</w:t>
      </w:r>
      <w:r>
        <w:rPr>
          <w:rFonts w:ascii="仿宋_GB2312" w:hAnsi="仿宋" w:eastAsia="仿宋_GB2312" w:cs="仿宋"/>
          <w:color w:val="000000" w:themeColor="text1"/>
          <w:kern w:val="2"/>
          <w:sz w:val="28"/>
          <w:szCs w:val="28"/>
        </w:rPr>
        <w:t>.</w:t>
      </w:r>
      <w:r>
        <w:rPr>
          <w:rFonts w:hint="eastAsia" w:ascii="仿宋_GB2312" w:hAnsi="仿宋" w:eastAsia="仿宋_GB2312" w:cs="仿宋"/>
          <w:color w:val="000000" w:themeColor="text1"/>
          <w:kern w:val="2"/>
          <w:sz w:val="28"/>
          <w:szCs w:val="28"/>
        </w:rPr>
        <w:t>建设单位与物业服务企业签订的前期物业服务合同，应当包含物业承接查验的内容。</w:t>
      </w:r>
    </w:p>
    <w:p>
      <w:pPr>
        <w:pStyle w:val="23"/>
        <w:shd w:val="clear" w:color="auto" w:fill="FFFFFF"/>
        <w:snapToGrid w:val="0"/>
        <w:spacing w:before="0" w:beforeAutospacing="0" w:after="0" w:afterAutospacing="0"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bCs/>
          <w:color w:val="000000" w:themeColor="text1"/>
          <w:kern w:val="2"/>
          <w:sz w:val="28"/>
          <w:szCs w:val="28"/>
        </w:rPr>
        <w:t>4</w:t>
      </w:r>
      <w:r>
        <w:rPr>
          <w:rFonts w:ascii="仿宋_GB2312" w:hAnsi="仿宋" w:eastAsia="仿宋_GB2312" w:cs="仿宋"/>
          <w:bCs/>
          <w:color w:val="000000" w:themeColor="text1"/>
          <w:kern w:val="2"/>
          <w:sz w:val="28"/>
          <w:szCs w:val="28"/>
        </w:rPr>
        <w:t>.</w:t>
      </w:r>
      <w:r>
        <w:rPr>
          <w:rFonts w:hint="eastAsia" w:ascii="仿宋_GB2312" w:hAnsi="仿宋" w:eastAsia="仿宋_GB2312" w:cs="仿宋"/>
          <w:color w:val="000000" w:themeColor="text1"/>
          <w:sz w:val="28"/>
          <w:szCs w:val="28"/>
        </w:rPr>
        <w:t>建设单位应当在物业交付使用15日前，与选聘的物业服务企业完成物业共用部位、共用设施设备的承接查验工作。</w:t>
      </w:r>
    </w:p>
    <w:p>
      <w:pPr>
        <w:pStyle w:val="23"/>
        <w:shd w:val="clear" w:color="auto" w:fill="FFFFFF"/>
        <w:snapToGrid w:val="0"/>
        <w:spacing w:before="0" w:beforeAutospacing="0" w:after="0" w:afterAutospacing="0" w:line="360" w:lineRule="auto"/>
        <w:ind w:firstLine="560" w:firstLineChars="200"/>
        <w:rPr>
          <w:rFonts w:ascii="仿宋_GB2312" w:hAnsi="仿宋" w:eastAsia="仿宋_GB2312" w:cs="仿宋"/>
          <w:color w:val="000000" w:themeColor="text1"/>
          <w:kern w:val="2"/>
          <w:sz w:val="28"/>
          <w:szCs w:val="28"/>
        </w:rPr>
      </w:pPr>
      <w:r>
        <w:rPr>
          <w:rFonts w:ascii="仿宋_GB2312" w:hAnsi="仿宋" w:eastAsia="仿宋_GB2312" w:cs="仿宋"/>
          <w:color w:val="000000" w:themeColor="text1"/>
          <w:sz w:val="28"/>
          <w:szCs w:val="28"/>
        </w:rPr>
        <w:t>5.</w:t>
      </w:r>
      <w:r>
        <w:rPr>
          <w:rFonts w:hint="eastAsia" w:ascii="仿宋_GB2312" w:hAnsi="仿宋" w:eastAsia="仿宋_GB2312" w:cs="仿宋"/>
          <w:color w:val="000000" w:themeColor="text1"/>
          <w:kern w:val="2"/>
          <w:sz w:val="28"/>
          <w:szCs w:val="28"/>
        </w:rPr>
        <w:t>实施承接查验的物业，应当具备以下条件：</w:t>
      </w:r>
    </w:p>
    <w:p>
      <w:pPr>
        <w:pStyle w:val="23"/>
        <w:shd w:val="clear" w:color="auto" w:fill="FFFFFF"/>
        <w:snapToGrid w:val="0"/>
        <w:spacing w:before="0" w:beforeAutospacing="0" w:after="0" w:afterAutospacing="0" w:line="360" w:lineRule="auto"/>
        <w:ind w:firstLine="200"/>
        <w:rPr>
          <w:rFonts w:ascii="仿宋_GB2312" w:hAnsi="仿宋" w:eastAsia="仿宋_GB2312" w:cs="仿宋"/>
          <w:color w:val="000000" w:themeColor="text1"/>
          <w:kern w:val="2"/>
          <w:sz w:val="28"/>
          <w:szCs w:val="28"/>
        </w:rPr>
      </w:pPr>
      <w:r>
        <w:rPr>
          <w:rFonts w:hint="eastAsia" w:ascii="仿宋_GB2312" w:hAnsi="仿宋" w:eastAsia="仿宋_GB2312" w:cs="仿宋"/>
          <w:color w:val="000000" w:themeColor="text1"/>
          <w:kern w:val="2"/>
          <w:sz w:val="28"/>
          <w:szCs w:val="28"/>
        </w:rPr>
        <w:t>　　（一）建设工程竣工验收合格，取得规划、消防、环保等主管部门出具的认可或者准许使用文件，并经建设行政主管部门备案；</w:t>
      </w:r>
    </w:p>
    <w:p>
      <w:pPr>
        <w:pStyle w:val="23"/>
        <w:shd w:val="clear" w:color="auto" w:fill="FFFFFF"/>
        <w:snapToGrid w:val="0"/>
        <w:spacing w:before="0" w:beforeAutospacing="0" w:after="0" w:afterAutospacing="0" w:line="360" w:lineRule="auto"/>
        <w:ind w:firstLine="200"/>
        <w:rPr>
          <w:rFonts w:ascii="仿宋_GB2312" w:hAnsi="仿宋" w:eastAsia="仿宋_GB2312" w:cs="仿宋"/>
          <w:color w:val="000000" w:themeColor="text1"/>
          <w:kern w:val="2"/>
          <w:sz w:val="28"/>
          <w:szCs w:val="28"/>
        </w:rPr>
      </w:pPr>
      <w:r>
        <w:rPr>
          <w:rFonts w:hint="eastAsia" w:ascii="仿宋_GB2312" w:hAnsi="仿宋" w:eastAsia="仿宋_GB2312" w:cs="仿宋"/>
          <w:color w:val="000000" w:themeColor="text1"/>
          <w:kern w:val="2"/>
          <w:sz w:val="28"/>
          <w:szCs w:val="28"/>
        </w:rPr>
        <w:t>　　（二）供水、排水、供电、供气、供热、通信、公共照明、有线电视等市政公用设施设备按规划设计要求建成，供水、供电、供气、供热已安装独立计量表具；</w:t>
      </w:r>
    </w:p>
    <w:p>
      <w:pPr>
        <w:pStyle w:val="23"/>
        <w:shd w:val="clear" w:color="auto" w:fill="FFFFFF"/>
        <w:snapToGrid w:val="0"/>
        <w:spacing w:before="0" w:beforeAutospacing="0" w:after="0" w:afterAutospacing="0" w:line="360" w:lineRule="auto"/>
        <w:ind w:firstLine="200"/>
        <w:rPr>
          <w:rFonts w:ascii="仿宋_GB2312" w:hAnsi="仿宋" w:eastAsia="仿宋_GB2312" w:cs="仿宋"/>
          <w:color w:val="000000" w:themeColor="text1"/>
          <w:kern w:val="2"/>
          <w:sz w:val="28"/>
          <w:szCs w:val="28"/>
        </w:rPr>
      </w:pPr>
      <w:r>
        <w:rPr>
          <w:rFonts w:hint="eastAsia" w:ascii="仿宋_GB2312" w:hAnsi="仿宋" w:eastAsia="仿宋_GB2312" w:cs="仿宋"/>
          <w:color w:val="000000" w:themeColor="text1"/>
          <w:kern w:val="2"/>
          <w:sz w:val="28"/>
          <w:szCs w:val="28"/>
        </w:rPr>
        <w:t>　　（三）教育、邮政、医疗卫生、文化体育、环卫、社区服务等公共服务设施已按规划设计要求建成；</w:t>
      </w:r>
    </w:p>
    <w:p>
      <w:pPr>
        <w:pStyle w:val="23"/>
        <w:shd w:val="clear" w:color="auto" w:fill="FFFFFF"/>
        <w:snapToGrid w:val="0"/>
        <w:spacing w:before="0" w:beforeAutospacing="0" w:after="0" w:afterAutospacing="0" w:line="360" w:lineRule="auto"/>
        <w:ind w:firstLine="200"/>
        <w:rPr>
          <w:rFonts w:ascii="仿宋_GB2312" w:hAnsi="仿宋" w:eastAsia="仿宋_GB2312" w:cs="仿宋"/>
          <w:color w:val="000000" w:themeColor="text1"/>
          <w:kern w:val="2"/>
          <w:sz w:val="28"/>
          <w:szCs w:val="28"/>
        </w:rPr>
      </w:pPr>
      <w:r>
        <w:rPr>
          <w:rFonts w:hint="eastAsia" w:ascii="仿宋_GB2312" w:hAnsi="仿宋" w:eastAsia="仿宋_GB2312" w:cs="仿宋"/>
          <w:color w:val="000000" w:themeColor="text1"/>
          <w:kern w:val="2"/>
          <w:sz w:val="28"/>
          <w:szCs w:val="28"/>
        </w:rPr>
        <w:t>　　（四）道路、绿地和物业服务用房等公共配套设施按规划设计要求建成，并满足使用功能要求；</w:t>
      </w:r>
    </w:p>
    <w:p>
      <w:pPr>
        <w:pStyle w:val="23"/>
        <w:shd w:val="clear" w:color="auto" w:fill="FFFFFF"/>
        <w:snapToGrid w:val="0"/>
        <w:spacing w:before="0" w:beforeAutospacing="0" w:after="0" w:afterAutospacing="0" w:line="360" w:lineRule="auto"/>
        <w:ind w:firstLine="200"/>
        <w:rPr>
          <w:rFonts w:ascii="仿宋_GB2312" w:hAnsi="仿宋" w:eastAsia="仿宋_GB2312" w:cs="仿宋"/>
          <w:color w:val="000000" w:themeColor="text1"/>
          <w:kern w:val="2"/>
          <w:sz w:val="28"/>
          <w:szCs w:val="28"/>
        </w:rPr>
      </w:pPr>
      <w:r>
        <w:rPr>
          <w:rFonts w:hint="eastAsia" w:ascii="仿宋_GB2312" w:hAnsi="仿宋" w:eastAsia="仿宋_GB2312" w:cs="仿宋"/>
          <w:color w:val="000000" w:themeColor="text1"/>
          <w:kern w:val="2"/>
          <w:sz w:val="28"/>
          <w:szCs w:val="28"/>
        </w:rPr>
        <w:t>　　（五）电梯、二次供水、高压供电、消防设施、压力容器、电子监控系统等共用设施设备取得使用合格证书；</w:t>
      </w:r>
    </w:p>
    <w:p>
      <w:pPr>
        <w:pStyle w:val="23"/>
        <w:shd w:val="clear" w:color="auto" w:fill="FFFFFF"/>
        <w:snapToGrid w:val="0"/>
        <w:spacing w:before="0" w:beforeAutospacing="0" w:after="0" w:afterAutospacing="0" w:line="360" w:lineRule="auto"/>
        <w:ind w:firstLine="200"/>
        <w:rPr>
          <w:rFonts w:ascii="仿宋_GB2312" w:hAnsi="仿宋" w:eastAsia="仿宋_GB2312" w:cs="仿宋"/>
          <w:color w:val="000000" w:themeColor="text1"/>
          <w:kern w:val="2"/>
          <w:sz w:val="28"/>
          <w:szCs w:val="28"/>
        </w:rPr>
      </w:pPr>
      <w:r>
        <w:rPr>
          <w:rFonts w:hint="eastAsia" w:ascii="仿宋_GB2312" w:hAnsi="仿宋" w:eastAsia="仿宋_GB2312" w:cs="仿宋"/>
          <w:color w:val="000000" w:themeColor="text1"/>
          <w:kern w:val="2"/>
          <w:sz w:val="28"/>
          <w:szCs w:val="28"/>
        </w:rPr>
        <w:t>　　（六）物业使用、维护和管理的相关技术资料完整齐全；</w:t>
      </w:r>
    </w:p>
    <w:p>
      <w:pPr>
        <w:pStyle w:val="23"/>
        <w:shd w:val="clear" w:color="auto" w:fill="FFFFFF"/>
        <w:snapToGrid w:val="0"/>
        <w:spacing w:before="0" w:beforeAutospacing="0" w:after="0" w:afterAutospacing="0" w:line="360" w:lineRule="auto"/>
        <w:ind w:firstLine="200"/>
        <w:rPr>
          <w:rFonts w:ascii="仿宋_GB2312" w:hAnsi="仿宋" w:eastAsia="仿宋_GB2312" w:cs="仿宋"/>
          <w:color w:val="000000" w:themeColor="text1"/>
          <w:kern w:val="2"/>
          <w:sz w:val="28"/>
          <w:szCs w:val="28"/>
        </w:rPr>
      </w:pPr>
      <w:r>
        <w:rPr>
          <w:rFonts w:hint="eastAsia" w:ascii="仿宋_GB2312" w:hAnsi="仿宋" w:eastAsia="仿宋_GB2312" w:cs="仿宋"/>
          <w:color w:val="000000" w:themeColor="text1"/>
          <w:kern w:val="2"/>
          <w:sz w:val="28"/>
          <w:szCs w:val="28"/>
        </w:rPr>
        <w:t>　　（七）法律、法规规定的其他条件。</w:t>
      </w:r>
    </w:p>
    <w:p>
      <w:pPr>
        <w:pStyle w:val="23"/>
        <w:shd w:val="clear" w:color="auto" w:fill="FFFFFF"/>
        <w:snapToGrid w:val="0"/>
        <w:spacing w:before="0" w:beforeAutospacing="0" w:after="0" w:afterAutospacing="0" w:line="360" w:lineRule="auto"/>
        <w:ind w:firstLine="200"/>
        <w:rPr>
          <w:rFonts w:ascii="仿宋_GB2312" w:hAnsi="仿宋" w:eastAsia="仿宋_GB2312" w:cs="仿宋"/>
          <w:color w:val="000000" w:themeColor="text1"/>
          <w:kern w:val="2"/>
          <w:sz w:val="28"/>
          <w:szCs w:val="28"/>
        </w:rPr>
      </w:pPr>
      <w:r>
        <w:rPr>
          <w:rFonts w:hint="eastAsia" w:ascii="仿宋_GB2312" w:hAnsi="仿宋" w:eastAsia="仿宋_GB2312" w:cs="仿宋"/>
          <w:color w:val="000000" w:themeColor="text1"/>
          <w:kern w:val="2"/>
          <w:sz w:val="28"/>
          <w:szCs w:val="28"/>
        </w:rPr>
        <w:t>　　</w:t>
      </w:r>
      <w:r>
        <w:rPr>
          <w:rFonts w:hint="eastAsia" w:ascii="仿宋_GB2312" w:hAnsi="仿宋" w:eastAsia="仿宋_GB2312" w:cs="仿宋"/>
          <w:bCs/>
          <w:color w:val="000000" w:themeColor="text1"/>
          <w:kern w:val="2"/>
          <w:sz w:val="28"/>
          <w:szCs w:val="28"/>
        </w:rPr>
        <w:t>6</w:t>
      </w:r>
      <w:r>
        <w:rPr>
          <w:rFonts w:ascii="仿宋_GB2312" w:hAnsi="仿宋" w:eastAsia="仿宋_GB2312" w:cs="仿宋"/>
          <w:bCs/>
          <w:color w:val="000000" w:themeColor="text1"/>
          <w:kern w:val="2"/>
          <w:sz w:val="28"/>
          <w:szCs w:val="28"/>
        </w:rPr>
        <w:t>.</w:t>
      </w:r>
      <w:r>
        <w:rPr>
          <w:rFonts w:hint="eastAsia" w:ascii="仿宋_GB2312" w:hAnsi="仿宋" w:eastAsia="仿宋_GB2312" w:cs="仿宋"/>
          <w:color w:val="000000" w:themeColor="text1"/>
          <w:kern w:val="2"/>
          <w:sz w:val="28"/>
          <w:szCs w:val="28"/>
        </w:rPr>
        <w:t>实施物业承接查验，主要依据下列文件：</w:t>
      </w:r>
    </w:p>
    <w:p>
      <w:pPr>
        <w:pStyle w:val="23"/>
        <w:shd w:val="clear" w:color="auto" w:fill="FFFFFF"/>
        <w:snapToGrid w:val="0"/>
        <w:spacing w:before="0" w:beforeAutospacing="0" w:after="0" w:afterAutospacing="0" w:line="360" w:lineRule="auto"/>
        <w:ind w:firstLine="200"/>
        <w:rPr>
          <w:rFonts w:ascii="仿宋_GB2312" w:hAnsi="仿宋" w:eastAsia="仿宋_GB2312" w:cs="仿宋"/>
          <w:color w:val="000000" w:themeColor="text1"/>
          <w:kern w:val="2"/>
          <w:sz w:val="28"/>
          <w:szCs w:val="28"/>
        </w:rPr>
      </w:pPr>
      <w:r>
        <w:rPr>
          <w:rFonts w:hint="eastAsia" w:ascii="仿宋_GB2312" w:hAnsi="仿宋" w:eastAsia="仿宋_GB2312" w:cs="仿宋"/>
          <w:color w:val="000000" w:themeColor="text1"/>
          <w:kern w:val="2"/>
          <w:sz w:val="28"/>
          <w:szCs w:val="28"/>
        </w:rPr>
        <w:t>　　（一）物业买卖合同；</w:t>
      </w:r>
    </w:p>
    <w:p>
      <w:pPr>
        <w:pStyle w:val="23"/>
        <w:shd w:val="clear" w:color="auto" w:fill="FFFFFF"/>
        <w:snapToGrid w:val="0"/>
        <w:spacing w:before="0" w:beforeAutospacing="0" w:after="0" w:afterAutospacing="0" w:line="360" w:lineRule="auto"/>
        <w:ind w:firstLine="200"/>
        <w:rPr>
          <w:rFonts w:ascii="仿宋_GB2312" w:hAnsi="仿宋" w:eastAsia="仿宋_GB2312" w:cs="仿宋"/>
          <w:color w:val="000000" w:themeColor="text1"/>
          <w:kern w:val="2"/>
          <w:sz w:val="28"/>
          <w:szCs w:val="28"/>
        </w:rPr>
      </w:pPr>
      <w:r>
        <w:rPr>
          <w:rFonts w:hint="eastAsia" w:ascii="仿宋_GB2312" w:hAnsi="仿宋" w:eastAsia="仿宋_GB2312" w:cs="仿宋"/>
          <w:color w:val="000000" w:themeColor="text1"/>
          <w:kern w:val="2"/>
          <w:sz w:val="28"/>
          <w:szCs w:val="28"/>
        </w:rPr>
        <w:t>　　（二）临时管理规约；</w:t>
      </w:r>
    </w:p>
    <w:p>
      <w:pPr>
        <w:pStyle w:val="23"/>
        <w:shd w:val="clear" w:color="auto" w:fill="FFFFFF"/>
        <w:snapToGrid w:val="0"/>
        <w:spacing w:before="0" w:beforeAutospacing="0" w:after="0" w:afterAutospacing="0" w:line="360" w:lineRule="auto"/>
        <w:ind w:firstLine="200"/>
        <w:rPr>
          <w:rFonts w:ascii="仿宋_GB2312" w:hAnsi="仿宋" w:eastAsia="仿宋_GB2312" w:cs="仿宋"/>
          <w:color w:val="000000" w:themeColor="text1"/>
          <w:kern w:val="2"/>
          <w:sz w:val="28"/>
          <w:szCs w:val="28"/>
        </w:rPr>
      </w:pPr>
      <w:r>
        <w:rPr>
          <w:rFonts w:hint="eastAsia" w:ascii="仿宋_GB2312" w:hAnsi="仿宋" w:eastAsia="仿宋_GB2312" w:cs="仿宋"/>
          <w:color w:val="000000" w:themeColor="text1"/>
          <w:kern w:val="2"/>
          <w:sz w:val="28"/>
          <w:szCs w:val="28"/>
        </w:rPr>
        <w:t>　　（三）前期物业服务合同；</w:t>
      </w:r>
    </w:p>
    <w:p>
      <w:pPr>
        <w:pStyle w:val="23"/>
        <w:shd w:val="clear" w:color="auto" w:fill="FFFFFF"/>
        <w:snapToGrid w:val="0"/>
        <w:spacing w:before="0" w:beforeAutospacing="0" w:after="0" w:afterAutospacing="0" w:line="360" w:lineRule="auto"/>
        <w:ind w:firstLine="200"/>
        <w:rPr>
          <w:rFonts w:ascii="仿宋_GB2312" w:hAnsi="仿宋" w:eastAsia="仿宋_GB2312" w:cs="仿宋"/>
          <w:color w:val="000000" w:themeColor="text1"/>
          <w:kern w:val="2"/>
          <w:sz w:val="28"/>
          <w:szCs w:val="28"/>
        </w:rPr>
      </w:pPr>
      <w:r>
        <w:rPr>
          <w:rFonts w:hint="eastAsia" w:ascii="仿宋_GB2312" w:hAnsi="仿宋" w:eastAsia="仿宋_GB2312" w:cs="仿宋"/>
          <w:color w:val="000000" w:themeColor="text1"/>
          <w:kern w:val="2"/>
          <w:sz w:val="28"/>
          <w:szCs w:val="28"/>
        </w:rPr>
        <w:t>　　（四）物业规划设计方案；</w:t>
      </w:r>
    </w:p>
    <w:p>
      <w:pPr>
        <w:pStyle w:val="23"/>
        <w:shd w:val="clear" w:color="auto" w:fill="FFFFFF"/>
        <w:snapToGrid w:val="0"/>
        <w:spacing w:before="0" w:beforeAutospacing="0" w:after="0" w:afterAutospacing="0" w:line="360" w:lineRule="auto"/>
        <w:ind w:firstLine="200"/>
        <w:rPr>
          <w:rFonts w:ascii="仿宋_GB2312" w:hAnsi="仿宋" w:eastAsia="仿宋_GB2312" w:cs="仿宋"/>
          <w:color w:val="000000" w:themeColor="text1"/>
          <w:kern w:val="2"/>
          <w:sz w:val="28"/>
          <w:szCs w:val="28"/>
        </w:rPr>
      </w:pPr>
      <w:r>
        <w:rPr>
          <w:rFonts w:hint="eastAsia" w:ascii="仿宋_GB2312" w:hAnsi="仿宋" w:eastAsia="仿宋_GB2312" w:cs="仿宋"/>
          <w:color w:val="000000" w:themeColor="text1"/>
          <w:kern w:val="2"/>
          <w:sz w:val="28"/>
          <w:szCs w:val="28"/>
        </w:rPr>
        <w:t>　　（五）建设单位移交的图纸资料；</w:t>
      </w:r>
    </w:p>
    <w:p>
      <w:pPr>
        <w:pStyle w:val="23"/>
        <w:shd w:val="clear" w:color="auto" w:fill="FFFFFF"/>
        <w:snapToGrid w:val="0"/>
        <w:spacing w:before="0" w:beforeAutospacing="0" w:after="0" w:afterAutospacing="0" w:line="360" w:lineRule="auto"/>
        <w:ind w:firstLine="200"/>
        <w:rPr>
          <w:rFonts w:ascii="仿宋_GB2312" w:hAnsi="仿宋" w:eastAsia="仿宋_GB2312" w:cs="仿宋"/>
          <w:color w:val="000000" w:themeColor="text1"/>
          <w:kern w:val="2"/>
          <w:sz w:val="28"/>
          <w:szCs w:val="28"/>
        </w:rPr>
      </w:pPr>
      <w:r>
        <w:rPr>
          <w:rFonts w:hint="eastAsia" w:ascii="仿宋_GB2312" w:hAnsi="仿宋" w:eastAsia="仿宋_GB2312" w:cs="仿宋"/>
          <w:color w:val="000000" w:themeColor="text1"/>
          <w:kern w:val="2"/>
          <w:sz w:val="28"/>
          <w:szCs w:val="28"/>
        </w:rPr>
        <w:t>　　（六）建设工程质量法规、政策、标准和规范。</w:t>
      </w:r>
    </w:p>
    <w:p>
      <w:pPr>
        <w:pStyle w:val="23"/>
        <w:shd w:val="clear" w:color="auto" w:fill="FFFFFF"/>
        <w:snapToGrid w:val="0"/>
        <w:spacing w:before="0" w:beforeAutospacing="0" w:after="0" w:afterAutospacing="0" w:line="360" w:lineRule="auto"/>
        <w:ind w:firstLine="200"/>
        <w:rPr>
          <w:rFonts w:ascii="仿宋_GB2312" w:hAnsi="仿宋" w:eastAsia="仿宋_GB2312" w:cs="仿宋"/>
          <w:color w:val="000000" w:themeColor="text1"/>
          <w:kern w:val="2"/>
          <w:sz w:val="28"/>
          <w:szCs w:val="28"/>
        </w:rPr>
      </w:pPr>
      <w:r>
        <w:rPr>
          <w:rFonts w:hint="eastAsia" w:ascii="仿宋_GB2312" w:hAnsi="仿宋" w:eastAsia="仿宋_GB2312" w:cs="仿宋"/>
          <w:color w:val="000000" w:themeColor="text1"/>
          <w:kern w:val="2"/>
          <w:sz w:val="28"/>
          <w:szCs w:val="28"/>
        </w:rPr>
        <w:t>　　</w:t>
      </w:r>
      <w:r>
        <w:rPr>
          <w:rFonts w:hint="eastAsia" w:ascii="仿宋_GB2312" w:hAnsi="仿宋" w:eastAsia="仿宋_GB2312" w:cs="仿宋"/>
          <w:bCs/>
          <w:color w:val="000000" w:themeColor="text1"/>
          <w:kern w:val="2"/>
          <w:sz w:val="28"/>
          <w:szCs w:val="28"/>
        </w:rPr>
        <w:t>7</w:t>
      </w:r>
      <w:r>
        <w:rPr>
          <w:rFonts w:ascii="仿宋_GB2312" w:hAnsi="仿宋" w:eastAsia="仿宋_GB2312" w:cs="仿宋"/>
          <w:bCs/>
          <w:color w:val="000000" w:themeColor="text1"/>
          <w:kern w:val="2"/>
          <w:sz w:val="28"/>
          <w:szCs w:val="28"/>
        </w:rPr>
        <w:t>.</w:t>
      </w:r>
      <w:r>
        <w:rPr>
          <w:rFonts w:hint="eastAsia" w:ascii="仿宋_GB2312" w:hAnsi="仿宋" w:eastAsia="仿宋_GB2312" w:cs="仿宋"/>
          <w:color w:val="000000" w:themeColor="text1"/>
          <w:kern w:val="2"/>
          <w:sz w:val="28"/>
          <w:szCs w:val="28"/>
        </w:rPr>
        <w:t>物业承接查验按照下列程序进行：</w:t>
      </w:r>
    </w:p>
    <w:p>
      <w:pPr>
        <w:pStyle w:val="23"/>
        <w:shd w:val="clear" w:color="auto" w:fill="FFFFFF"/>
        <w:snapToGrid w:val="0"/>
        <w:spacing w:before="0" w:beforeAutospacing="0" w:after="0" w:afterAutospacing="0" w:line="360" w:lineRule="auto"/>
        <w:ind w:firstLine="200"/>
        <w:rPr>
          <w:rFonts w:ascii="仿宋_GB2312" w:hAnsi="仿宋" w:eastAsia="仿宋_GB2312" w:cs="仿宋"/>
          <w:color w:val="000000" w:themeColor="text1"/>
          <w:kern w:val="2"/>
          <w:sz w:val="28"/>
          <w:szCs w:val="28"/>
        </w:rPr>
      </w:pPr>
      <w:r>
        <w:rPr>
          <w:rFonts w:hint="eastAsia" w:ascii="仿宋_GB2312" w:hAnsi="仿宋" w:eastAsia="仿宋_GB2312" w:cs="仿宋"/>
          <w:color w:val="000000" w:themeColor="text1"/>
          <w:kern w:val="2"/>
          <w:sz w:val="28"/>
          <w:szCs w:val="28"/>
        </w:rPr>
        <w:t>　　（一）确定物业承接查验方案；</w:t>
      </w:r>
    </w:p>
    <w:p>
      <w:pPr>
        <w:pStyle w:val="23"/>
        <w:shd w:val="clear" w:color="auto" w:fill="FFFFFF"/>
        <w:snapToGrid w:val="0"/>
        <w:spacing w:before="0" w:beforeAutospacing="0" w:after="0" w:afterAutospacing="0" w:line="360" w:lineRule="auto"/>
        <w:ind w:firstLine="200"/>
        <w:rPr>
          <w:rFonts w:ascii="仿宋_GB2312" w:hAnsi="仿宋" w:eastAsia="仿宋_GB2312" w:cs="仿宋"/>
          <w:color w:val="000000" w:themeColor="text1"/>
          <w:kern w:val="2"/>
          <w:sz w:val="28"/>
          <w:szCs w:val="28"/>
        </w:rPr>
      </w:pPr>
      <w:r>
        <w:rPr>
          <w:rFonts w:hint="eastAsia" w:ascii="仿宋_GB2312" w:hAnsi="仿宋" w:eastAsia="仿宋_GB2312" w:cs="仿宋"/>
          <w:color w:val="000000" w:themeColor="text1"/>
          <w:kern w:val="2"/>
          <w:sz w:val="28"/>
          <w:szCs w:val="28"/>
        </w:rPr>
        <w:t>　　（二）移交有关图纸资料；</w:t>
      </w:r>
    </w:p>
    <w:p>
      <w:pPr>
        <w:pStyle w:val="23"/>
        <w:shd w:val="clear" w:color="auto" w:fill="FFFFFF"/>
        <w:snapToGrid w:val="0"/>
        <w:spacing w:before="0" w:beforeAutospacing="0" w:after="0" w:afterAutospacing="0" w:line="360" w:lineRule="auto"/>
        <w:ind w:firstLine="200"/>
        <w:rPr>
          <w:rFonts w:ascii="仿宋_GB2312" w:hAnsi="仿宋" w:eastAsia="仿宋_GB2312" w:cs="仿宋"/>
          <w:color w:val="000000" w:themeColor="text1"/>
          <w:kern w:val="2"/>
          <w:sz w:val="28"/>
          <w:szCs w:val="28"/>
        </w:rPr>
      </w:pPr>
      <w:r>
        <w:rPr>
          <w:rFonts w:hint="eastAsia" w:ascii="仿宋_GB2312" w:hAnsi="仿宋" w:eastAsia="仿宋_GB2312" w:cs="仿宋"/>
          <w:color w:val="000000" w:themeColor="text1"/>
          <w:kern w:val="2"/>
          <w:sz w:val="28"/>
          <w:szCs w:val="28"/>
        </w:rPr>
        <w:t>　　（三）查验共用部位、共用设施设备；</w:t>
      </w:r>
    </w:p>
    <w:p>
      <w:pPr>
        <w:pStyle w:val="23"/>
        <w:shd w:val="clear" w:color="auto" w:fill="FFFFFF"/>
        <w:snapToGrid w:val="0"/>
        <w:spacing w:before="0" w:beforeAutospacing="0" w:after="0" w:afterAutospacing="0" w:line="360" w:lineRule="auto"/>
        <w:ind w:firstLine="200"/>
        <w:rPr>
          <w:rFonts w:ascii="仿宋_GB2312" w:hAnsi="仿宋" w:eastAsia="仿宋_GB2312" w:cs="仿宋"/>
          <w:color w:val="000000" w:themeColor="text1"/>
          <w:kern w:val="2"/>
          <w:sz w:val="28"/>
          <w:szCs w:val="28"/>
        </w:rPr>
      </w:pPr>
      <w:r>
        <w:rPr>
          <w:rFonts w:hint="eastAsia" w:ascii="仿宋_GB2312" w:hAnsi="仿宋" w:eastAsia="仿宋_GB2312" w:cs="仿宋"/>
          <w:color w:val="000000" w:themeColor="text1"/>
          <w:kern w:val="2"/>
          <w:sz w:val="28"/>
          <w:szCs w:val="28"/>
        </w:rPr>
        <w:t>　　（四）解决查验发现的问题；</w:t>
      </w:r>
    </w:p>
    <w:p>
      <w:pPr>
        <w:pStyle w:val="23"/>
        <w:shd w:val="clear" w:color="auto" w:fill="FFFFFF"/>
        <w:snapToGrid w:val="0"/>
        <w:spacing w:before="0" w:beforeAutospacing="0" w:after="0" w:afterAutospacing="0" w:line="360" w:lineRule="auto"/>
        <w:ind w:firstLine="200"/>
        <w:rPr>
          <w:rFonts w:ascii="仿宋_GB2312" w:hAnsi="仿宋" w:eastAsia="仿宋_GB2312" w:cs="仿宋"/>
          <w:color w:val="000000" w:themeColor="text1"/>
          <w:kern w:val="2"/>
          <w:sz w:val="28"/>
          <w:szCs w:val="28"/>
        </w:rPr>
      </w:pPr>
      <w:r>
        <w:rPr>
          <w:rFonts w:hint="eastAsia" w:ascii="仿宋_GB2312" w:hAnsi="仿宋" w:eastAsia="仿宋_GB2312" w:cs="仿宋"/>
          <w:color w:val="000000" w:themeColor="text1"/>
          <w:kern w:val="2"/>
          <w:sz w:val="28"/>
          <w:szCs w:val="28"/>
        </w:rPr>
        <w:t>　　（五）确认现场查验结果；</w:t>
      </w:r>
    </w:p>
    <w:p>
      <w:pPr>
        <w:pStyle w:val="23"/>
        <w:shd w:val="clear" w:color="auto" w:fill="FFFFFF"/>
        <w:snapToGrid w:val="0"/>
        <w:spacing w:before="0" w:beforeAutospacing="0" w:after="0" w:afterAutospacing="0" w:line="360" w:lineRule="auto"/>
        <w:ind w:firstLine="200"/>
        <w:rPr>
          <w:rFonts w:ascii="仿宋_GB2312" w:hAnsi="仿宋" w:eastAsia="仿宋_GB2312" w:cs="仿宋"/>
          <w:color w:val="000000" w:themeColor="text1"/>
          <w:kern w:val="2"/>
          <w:sz w:val="28"/>
          <w:szCs w:val="28"/>
        </w:rPr>
      </w:pPr>
      <w:r>
        <w:rPr>
          <w:rFonts w:hint="eastAsia" w:ascii="仿宋_GB2312" w:hAnsi="仿宋" w:eastAsia="仿宋_GB2312" w:cs="仿宋"/>
          <w:color w:val="000000" w:themeColor="text1"/>
          <w:kern w:val="2"/>
          <w:sz w:val="28"/>
          <w:szCs w:val="28"/>
        </w:rPr>
        <w:t>　　（六）签订物业承接查验协议；</w:t>
      </w:r>
    </w:p>
    <w:p>
      <w:pPr>
        <w:pStyle w:val="23"/>
        <w:shd w:val="clear" w:color="auto" w:fill="FFFFFF"/>
        <w:snapToGrid w:val="0"/>
        <w:spacing w:before="0" w:beforeAutospacing="0" w:after="0" w:afterAutospacing="0" w:line="360" w:lineRule="auto"/>
        <w:ind w:firstLine="200"/>
        <w:rPr>
          <w:rFonts w:ascii="仿宋_GB2312" w:hAnsi="仿宋" w:eastAsia="仿宋_GB2312" w:cs="仿宋"/>
          <w:color w:val="000000" w:themeColor="text1"/>
          <w:kern w:val="2"/>
          <w:sz w:val="28"/>
          <w:szCs w:val="28"/>
        </w:rPr>
      </w:pPr>
      <w:r>
        <w:rPr>
          <w:rFonts w:hint="eastAsia" w:ascii="仿宋_GB2312" w:hAnsi="仿宋" w:eastAsia="仿宋_GB2312" w:cs="仿宋"/>
          <w:color w:val="000000" w:themeColor="text1"/>
          <w:kern w:val="2"/>
          <w:sz w:val="28"/>
          <w:szCs w:val="28"/>
        </w:rPr>
        <w:t>　　（七）办理物业交接手续。</w:t>
      </w:r>
    </w:p>
    <w:p>
      <w:pPr>
        <w:pStyle w:val="23"/>
        <w:shd w:val="clear" w:color="auto" w:fill="FFFFFF"/>
        <w:snapToGrid w:val="0"/>
        <w:spacing w:before="0" w:beforeAutospacing="0" w:after="0" w:afterAutospacing="0" w:line="360" w:lineRule="auto"/>
        <w:ind w:firstLine="200"/>
        <w:rPr>
          <w:rFonts w:ascii="仿宋_GB2312" w:hAnsi="仿宋" w:eastAsia="仿宋_GB2312" w:cs="仿宋"/>
          <w:color w:val="000000" w:themeColor="text1"/>
          <w:kern w:val="2"/>
          <w:sz w:val="28"/>
          <w:szCs w:val="28"/>
        </w:rPr>
      </w:pPr>
      <w:r>
        <w:rPr>
          <w:rFonts w:hint="eastAsia" w:ascii="仿宋_GB2312" w:hAnsi="仿宋" w:eastAsia="仿宋_GB2312" w:cs="仿宋"/>
          <w:color w:val="000000" w:themeColor="text1"/>
          <w:kern w:val="2"/>
          <w:sz w:val="28"/>
          <w:szCs w:val="28"/>
        </w:rPr>
        <w:t>　　</w:t>
      </w:r>
      <w:r>
        <w:rPr>
          <w:rFonts w:hint="eastAsia" w:ascii="仿宋_GB2312" w:hAnsi="仿宋" w:eastAsia="仿宋_GB2312" w:cs="仿宋"/>
          <w:bCs/>
          <w:color w:val="000000" w:themeColor="text1"/>
          <w:kern w:val="2"/>
          <w:sz w:val="28"/>
          <w:szCs w:val="28"/>
        </w:rPr>
        <w:t>8</w:t>
      </w:r>
      <w:r>
        <w:rPr>
          <w:rFonts w:ascii="仿宋_GB2312" w:hAnsi="仿宋" w:eastAsia="仿宋_GB2312" w:cs="仿宋"/>
          <w:bCs/>
          <w:color w:val="000000" w:themeColor="text1"/>
          <w:kern w:val="2"/>
          <w:sz w:val="28"/>
          <w:szCs w:val="28"/>
        </w:rPr>
        <w:t>.</w:t>
      </w:r>
      <w:r>
        <w:rPr>
          <w:rFonts w:hint="eastAsia" w:ascii="仿宋_GB2312" w:hAnsi="仿宋" w:eastAsia="仿宋_GB2312" w:cs="仿宋"/>
          <w:color w:val="000000" w:themeColor="text1"/>
          <w:kern w:val="2"/>
          <w:sz w:val="28"/>
          <w:szCs w:val="28"/>
        </w:rPr>
        <w:t>现场查验20日前，建设单位应当向物业服务企业移交下列资料：</w:t>
      </w:r>
    </w:p>
    <w:p>
      <w:pPr>
        <w:pStyle w:val="23"/>
        <w:shd w:val="clear" w:color="auto" w:fill="FFFFFF"/>
        <w:snapToGrid w:val="0"/>
        <w:spacing w:before="0" w:beforeAutospacing="0" w:after="0" w:afterAutospacing="0" w:line="360" w:lineRule="auto"/>
        <w:ind w:firstLine="200"/>
        <w:rPr>
          <w:rFonts w:ascii="仿宋_GB2312" w:hAnsi="仿宋" w:eastAsia="仿宋_GB2312" w:cs="仿宋"/>
          <w:color w:val="000000" w:themeColor="text1"/>
          <w:kern w:val="2"/>
          <w:sz w:val="28"/>
          <w:szCs w:val="28"/>
        </w:rPr>
      </w:pPr>
      <w:r>
        <w:rPr>
          <w:rFonts w:hint="eastAsia" w:ascii="仿宋_GB2312" w:hAnsi="仿宋" w:eastAsia="仿宋_GB2312" w:cs="仿宋"/>
          <w:color w:val="000000" w:themeColor="text1"/>
          <w:kern w:val="2"/>
          <w:sz w:val="28"/>
          <w:szCs w:val="28"/>
        </w:rPr>
        <w:t>　　（一）竣工总平面图，单体建筑、结构、设备竣工图，配套设施、地下管网工程竣工图等竣工验收资料；</w:t>
      </w:r>
    </w:p>
    <w:p>
      <w:pPr>
        <w:pStyle w:val="23"/>
        <w:shd w:val="clear" w:color="auto" w:fill="FFFFFF"/>
        <w:snapToGrid w:val="0"/>
        <w:spacing w:before="0" w:beforeAutospacing="0" w:after="0" w:afterAutospacing="0" w:line="360" w:lineRule="auto"/>
        <w:ind w:firstLine="200"/>
        <w:rPr>
          <w:rFonts w:ascii="仿宋_GB2312" w:hAnsi="仿宋" w:eastAsia="仿宋_GB2312" w:cs="仿宋"/>
          <w:color w:val="000000" w:themeColor="text1"/>
          <w:kern w:val="2"/>
          <w:sz w:val="28"/>
          <w:szCs w:val="28"/>
        </w:rPr>
      </w:pPr>
      <w:r>
        <w:rPr>
          <w:rFonts w:hint="eastAsia" w:ascii="仿宋_GB2312" w:hAnsi="仿宋" w:eastAsia="仿宋_GB2312" w:cs="仿宋"/>
          <w:color w:val="000000" w:themeColor="text1"/>
          <w:kern w:val="2"/>
          <w:sz w:val="28"/>
          <w:szCs w:val="28"/>
        </w:rPr>
        <w:t>　　（二）共用设施设备清单及其安装、使用和维护保养等技术资料；</w:t>
      </w:r>
    </w:p>
    <w:p>
      <w:pPr>
        <w:pStyle w:val="23"/>
        <w:shd w:val="clear" w:color="auto" w:fill="FFFFFF"/>
        <w:snapToGrid w:val="0"/>
        <w:spacing w:before="0" w:beforeAutospacing="0" w:after="0" w:afterAutospacing="0" w:line="360" w:lineRule="auto"/>
        <w:ind w:firstLine="200"/>
        <w:rPr>
          <w:rFonts w:ascii="仿宋_GB2312" w:hAnsi="仿宋" w:eastAsia="仿宋_GB2312" w:cs="仿宋"/>
          <w:color w:val="000000" w:themeColor="text1"/>
          <w:kern w:val="2"/>
          <w:sz w:val="28"/>
          <w:szCs w:val="28"/>
        </w:rPr>
      </w:pPr>
      <w:r>
        <w:rPr>
          <w:rFonts w:hint="eastAsia" w:ascii="仿宋_GB2312" w:hAnsi="仿宋" w:eastAsia="仿宋_GB2312" w:cs="仿宋"/>
          <w:color w:val="000000" w:themeColor="text1"/>
          <w:kern w:val="2"/>
          <w:sz w:val="28"/>
          <w:szCs w:val="28"/>
        </w:rPr>
        <w:t>　　（三）供水、供电、供气、供热、通信、有线电视等准许使用文件；</w:t>
      </w:r>
    </w:p>
    <w:p>
      <w:pPr>
        <w:pStyle w:val="23"/>
        <w:shd w:val="clear" w:color="auto" w:fill="FFFFFF"/>
        <w:snapToGrid w:val="0"/>
        <w:spacing w:before="0" w:beforeAutospacing="0" w:after="0" w:afterAutospacing="0" w:line="360" w:lineRule="auto"/>
        <w:ind w:firstLine="200"/>
        <w:rPr>
          <w:rFonts w:ascii="仿宋_GB2312" w:hAnsi="仿宋" w:eastAsia="仿宋_GB2312" w:cs="仿宋"/>
          <w:color w:val="000000" w:themeColor="text1"/>
          <w:kern w:val="2"/>
          <w:sz w:val="28"/>
          <w:szCs w:val="28"/>
        </w:rPr>
      </w:pPr>
      <w:r>
        <w:rPr>
          <w:rFonts w:hint="eastAsia" w:ascii="仿宋_GB2312" w:hAnsi="仿宋" w:eastAsia="仿宋_GB2312" w:cs="仿宋"/>
          <w:color w:val="000000" w:themeColor="text1"/>
          <w:kern w:val="2"/>
          <w:sz w:val="28"/>
          <w:szCs w:val="28"/>
        </w:rPr>
        <w:t>　　（四）物业质量保修文件和物业使用说明文件；</w:t>
      </w:r>
    </w:p>
    <w:p>
      <w:pPr>
        <w:pStyle w:val="23"/>
        <w:shd w:val="clear" w:color="auto" w:fill="FFFFFF"/>
        <w:snapToGrid w:val="0"/>
        <w:spacing w:before="0" w:beforeAutospacing="0" w:after="0" w:afterAutospacing="0" w:line="360" w:lineRule="auto"/>
        <w:ind w:firstLine="200"/>
        <w:rPr>
          <w:rFonts w:ascii="仿宋_GB2312" w:hAnsi="仿宋" w:eastAsia="仿宋_GB2312" w:cs="仿宋"/>
          <w:color w:val="000000" w:themeColor="text1"/>
          <w:kern w:val="2"/>
          <w:sz w:val="28"/>
          <w:szCs w:val="28"/>
        </w:rPr>
      </w:pPr>
      <w:r>
        <w:rPr>
          <w:rFonts w:hint="eastAsia" w:ascii="仿宋_GB2312" w:hAnsi="仿宋" w:eastAsia="仿宋_GB2312" w:cs="仿宋"/>
          <w:color w:val="000000" w:themeColor="text1"/>
          <w:kern w:val="2"/>
          <w:sz w:val="28"/>
          <w:szCs w:val="28"/>
        </w:rPr>
        <w:t>　　（五）承接查验所必需的其他资料。</w:t>
      </w:r>
    </w:p>
    <w:p>
      <w:pPr>
        <w:pStyle w:val="23"/>
        <w:shd w:val="clear" w:color="auto" w:fill="FFFFFF"/>
        <w:snapToGrid w:val="0"/>
        <w:spacing w:before="0" w:beforeAutospacing="0" w:after="0" w:afterAutospacing="0" w:line="360" w:lineRule="auto"/>
        <w:ind w:firstLine="560" w:firstLineChars="200"/>
        <w:rPr>
          <w:rFonts w:ascii="仿宋_GB2312" w:hAnsi="仿宋" w:eastAsia="仿宋_GB2312" w:cs="仿宋"/>
          <w:color w:val="000000" w:themeColor="text1"/>
          <w:kern w:val="2"/>
          <w:sz w:val="28"/>
          <w:szCs w:val="28"/>
        </w:rPr>
      </w:pPr>
      <w:r>
        <w:rPr>
          <w:rFonts w:hint="eastAsia" w:ascii="仿宋_GB2312" w:hAnsi="仿宋" w:eastAsia="仿宋_GB2312" w:cs="仿宋"/>
          <w:color w:val="000000" w:themeColor="text1"/>
          <w:kern w:val="2"/>
          <w:sz w:val="28"/>
          <w:szCs w:val="28"/>
        </w:rPr>
        <w:t>未能全部移交前款所列资料的，建设单位应当列出未移交资料的详细清单并书面承诺补交的具体时限。</w:t>
      </w:r>
    </w:p>
    <w:p>
      <w:pPr>
        <w:pStyle w:val="23"/>
        <w:shd w:val="clear" w:color="auto" w:fill="FFFFFF"/>
        <w:snapToGrid w:val="0"/>
        <w:spacing w:before="0" w:beforeAutospacing="0" w:after="0" w:afterAutospacing="0" w:line="360" w:lineRule="auto"/>
        <w:ind w:firstLine="560" w:firstLineChars="200"/>
        <w:rPr>
          <w:rFonts w:ascii="仿宋_GB2312" w:hAnsi="仿宋" w:eastAsia="仿宋_GB2312" w:cs="仿宋"/>
          <w:color w:val="000000" w:themeColor="text1"/>
          <w:kern w:val="2"/>
          <w:sz w:val="28"/>
          <w:szCs w:val="28"/>
        </w:rPr>
      </w:pPr>
      <w:r>
        <w:rPr>
          <w:rFonts w:hint="eastAsia" w:ascii="仿宋_GB2312" w:hAnsi="仿宋" w:eastAsia="仿宋_GB2312" w:cs="仿宋"/>
          <w:color w:val="000000" w:themeColor="text1"/>
          <w:kern w:val="2"/>
          <w:sz w:val="28"/>
          <w:szCs w:val="28"/>
        </w:rPr>
        <w:t xml:space="preserve"> </w:t>
      </w:r>
      <w:r>
        <w:rPr>
          <w:rFonts w:ascii="仿宋_GB2312" w:hAnsi="仿宋" w:eastAsia="仿宋_GB2312" w:cs="仿宋"/>
          <w:color w:val="000000" w:themeColor="text1"/>
          <w:kern w:val="2"/>
          <w:sz w:val="28"/>
          <w:szCs w:val="28"/>
        </w:rPr>
        <w:t>9.</w:t>
      </w:r>
      <w:r>
        <w:rPr>
          <w:rFonts w:hint="eastAsia" w:ascii="仿宋_GB2312" w:hAnsi="仿宋" w:eastAsia="仿宋_GB2312" w:cs="仿宋"/>
          <w:color w:val="000000" w:themeColor="text1"/>
          <w:kern w:val="2"/>
          <w:sz w:val="28"/>
          <w:szCs w:val="28"/>
        </w:rPr>
        <w:t>物业服务企业应当对下列物业共用部位、共用设施设备进行现场检查和验收：</w:t>
      </w:r>
    </w:p>
    <w:p>
      <w:pPr>
        <w:widowControl/>
        <w:shd w:val="clear" w:color="auto" w:fill="FFFFFF"/>
        <w:snapToGrid w:val="0"/>
        <w:spacing w:line="360" w:lineRule="auto"/>
        <w:ind w:firstLine="560" w:firstLineChars="200"/>
        <w:jc w:val="left"/>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（一）共用部位：一般包括建筑物的基础、承重墙体、柱、梁、楼板、屋顶以及外墙、门厅、楼梯间、走廊、楼道、扶手、护栏、电梯井道、架空层及设备间等；</w:t>
      </w:r>
    </w:p>
    <w:p>
      <w:pPr>
        <w:widowControl/>
        <w:shd w:val="clear" w:color="auto" w:fill="FFFFFF"/>
        <w:snapToGrid w:val="0"/>
        <w:spacing w:line="360" w:lineRule="auto"/>
        <w:ind w:firstLine="560" w:firstLineChars="200"/>
        <w:jc w:val="left"/>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（二）共用设备：一般包括电梯、水泵、水箱、避雷设施、消防设备、楼道灯、电视天线、发电机、变配电设备、给排水管线、电线、供暖及空调设备等；</w:t>
      </w:r>
    </w:p>
    <w:p>
      <w:pPr>
        <w:widowControl/>
        <w:shd w:val="clear" w:color="auto" w:fill="FFFFFF"/>
        <w:snapToGrid w:val="0"/>
        <w:spacing w:line="360" w:lineRule="auto"/>
        <w:ind w:firstLine="560" w:firstLineChars="200"/>
        <w:jc w:val="left"/>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三）共用设施：一般包括道路、绿地、人造景观、围墙、大门、信报箱、宣传栏、路灯、排水沟、渠、池、污水井、化粪池、垃圾容器、污水处理设施、机动车（非机动车）停车设施、休闲娱乐设施、消防设施、安防监控设施、人防设施、垃圾转运设施以及物业服务用房等。</w:t>
      </w:r>
    </w:p>
    <w:p>
      <w:pPr>
        <w:widowControl/>
        <w:shd w:val="clear" w:color="auto" w:fill="FFFFFF"/>
        <w:snapToGrid w:val="0"/>
        <w:spacing w:line="360" w:lineRule="auto"/>
        <w:ind w:firstLine="560" w:firstLineChars="200"/>
        <w:jc w:val="left"/>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w:t>
      </w:r>
      <w:r>
        <w:rPr>
          <w:rFonts w:ascii="仿宋_GB2312" w:hAnsi="仿宋" w:eastAsia="仿宋_GB2312" w:cs="仿宋"/>
          <w:color w:val="000000" w:themeColor="text1"/>
          <w:sz w:val="28"/>
          <w:szCs w:val="28"/>
        </w:rPr>
        <w:t>0.</w:t>
      </w:r>
      <w:r>
        <w:rPr>
          <w:rFonts w:hint="eastAsia" w:ascii="仿宋_GB2312" w:hAnsi="仿宋" w:eastAsia="仿宋_GB2312" w:cs="仿宋"/>
          <w:color w:val="000000" w:themeColor="text1"/>
          <w:sz w:val="28"/>
          <w:szCs w:val="28"/>
        </w:rPr>
        <w:t>建设单位应当依法移交有关单位的供水、供电、供气、供热、通信和有线电视等共用设施设备，不作为物业服务企业现场检查和验收的内容。</w:t>
      </w:r>
    </w:p>
    <w:p>
      <w:pPr>
        <w:overflowPunct w:val="0"/>
        <w:snapToGrid w:val="0"/>
        <w:spacing w:beforeLines="50" w:line="360" w:lineRule="auto"/>
        <w:ind w:firstLine="562" w:firstLineChars="200"/>
        <w:rPr>
          <w:rFonts w:ascii="仿宋_GB2312" w:hAnsi="仿宋" w:eastAsia="仿宋_GB2312" w:cs="Times New Roman"/>
          <w:b/>
          <w:color w:val="000000" w:themeColor="text1"/>
          <w:sz w:val="28"/>
          <w:szCs w:val="32"/>
        </w:rPr>
      </w:pPr>
      <w:r>
        <w:rPr>
          <w:rFonts w:hint="eastAsia" w:ascii="仿宋_GB2312" w:hAnsi="仿宋" w:eastAsia="仿宋_GB2312" w:cs="Times New Roman"/>
          <w:b/>
          <w:color w:val="000000" w:themeColor="text1"/>
          <w:sz w:val="28"/>
          <w:szCs w:val="32"/>
        </w:rPr>
        <w:t>根据《北京市物业管理条例》：</w:t>
      </w:r>
    </w:p>
    <w:p>
      <w:pPr>
        <w:widowControl/>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w:t>
      </w:r>
      <w:r>
        <w:rPr>
          <w:rFonts w:ascii="仿宋_GB2312" w:hAnsi="仿宋" w:eastAsia="仿宋_GB2312" w:cs="仿宋"/>
          <w:color w:val="000000" w:themeColor="text1"/>
          <w:sz w:val="28"/>
          <w:szCs w:val="28"/>
        </w:rPr>
        <w:t>.</w:t>
      </w:r>
      <w:r>
        <w:rPr>
          <w:rFonts w:hint="eastAsia" w:ascii="仿宋_GB2312" w:hAnsi="仿宋" w:eastAsia="仿宋_GB2312" w:cs="仿宋"/>
          <w:color w:val="000000" w:themeColor="text1"/>
          <w:sz w:val="28"/>
          <w:szCs w:val="28"/>
        </w:rPr>
        <w:t>街道办事处、乡镇人民政府参加物业承接查验，指导监督辖区内物业管理项目的移交和接管，指导、协调物业服务人依法履行义务，调处物业管理纠纷，统筹协调、监督管理辖区内物业管理活动。</w:t>
      </w:r>
    </w:p>
    <w:p>
      <w:pPr>
        <w:widowControl/>
        <w:snapToGrid w:val="0"/>
        <w:spacing w:line="360" w:lineRule="auto"/>
        <w:ind w:firstLine="560" w:firstLineChars="200"/>
        <w:jc w:val="left"/>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2</w:t>
      </w:r>
      <w:r>
        <w:rPr>
          <w:rFonts w:ascii="仿宋_GB2312" w:hAnsi="仿宋" w:eastAsia="仿宋_GB2312" w:cs="仿宋"/>
          <w:color w:val="000000" w:themeColor="text1"/>
          <w:sz w:val="28"/>
          <w:szCs w:val="28"/>
        </w:rPr>
        <w:t>.</w:t>
      </w:r>
      <w:r>
        <w:rPr>
          <w:rFonts w:hint="eastAsia" w:ascii="仿宋_GB2312" w:hAnsi="仿宋" w:eastAsia="仿宋_GB2312" w:cs="仿宋"/>
          <w:color w:val="000000" w:themeColor="text1"/>
          <w:sz w:val="28"/>
          <w:szCs w:val="28"/>
        </w:rPr>
        <w:t xml:space="preserve">建设单位与前期物业服务人应当在区住房和城乡建设或者房屋主管部门的指导、监督下，共同确认物业管理区域，对物业管理区域内的共用部位、共用设施设备进行查验，确认现场查验结果，形成查验记录，签订物业承接查验协议，并向业主公开查验的结果。 </w:t>
      </w:r>
    </w:p>
    <w:p>
      <w:pPr>
        <w:widowControl/>
        <w:ind w:firstLine="560" w:firstLineChars="200"/>
        <w:jc w:val="left"/>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承接查验协议应当对物业承接查验基本情况、存在问题、解决方法及其时限、双方权利义务、违约责任等事项作出约定。对于承接查验发现的问题，建设单位应当在三十日内予以整改，或者委托前期物业服务人整改。</w:t>
      </w:r>
    </w:p>
    <w:p>
      <w:pPr>
        <w:snapToGrid w:val="0"/>
        <w:spacing w:beforeLines="50" w:line="360" w:lineRule="auto"/>
        <w:ind w:firstLine="562" w:firstLineChars="200"/>
        <w:rPr>
          <w:rFonts w:ascii="仿宋_GB2312" w:eastAsia="仿宋_GB2312"/>
          <w:b/>
          <w:color w:val="000000" w:themeColor="text1"/>
          <w:sz w:val="28"/>
        </w:rPr>
      </w:pPr>
      <w:r>
        <w:rPr>
          <w:rFonts w:hint="eastAsia" w:ascii="仿宋_GB2312" w:eastAsia="仿宋_GB2312"/>
          <w:b/>
          <w:color w:val="000000" w:themeColor="text1"/>
          <w:sz w:val="28"/>
        </w:rPr>
        <w:t>风险提示</w:t>
      </w:r>
    </w:p>
    <w:p>
      <w:pPr>
        <w:snapToGrid w:val="0"/>
        <w:spacing w:beforeLines="50" w:line="360" w:lineRule="auto"/>
        <w:ind w:firstLine="562" w:firstLineChars="200"/>
        <w:rPr>
          <w:rFonts w:ascii="仿宋_GB2312" w:eastAsia="仿宋_GB2312"/>
          <w:b/>
          <w:color w:val="000000" w:themeColor="text1"/>
          <w:sz w:val="28"/>
        </w:rPr>
      </w:pPr>
      <w:r>
        <w:rPr>
          <w:rFonts w:hint="eastAsia" w:ascii="仿宋_GB2312" w:eastAsia="仿宋_GB2312"/>
          <w:b/>
          <w:color w:val="000000" w:themeColor="text1"/>
          <w:sz w:val="28"/>
        </w:rPr>
        <w:t>根据《承接查验办法》：</w:t>
      </w:r>
    </w:p>
    <w:p>
      <w:pPr>
        <w:widowControl/>
        <w:snapToGrid w:val="0"/>
        <w:spacing w:line="360" w:lineRule="auto"/>
        <w:ind w:firstLine="560" w:firstLineChars="200"/>
        <w:jc w:val="left"/>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物业服务企业擅自承接未经查验的物业，因物业共用部位、共用设施设备缺陷给业主造成损害的，物业服务企业应当承担相应的赔偿责任。</w:t>
      </w:r>
    </w:p>
    <w:p>
      <w:pPr>
        <w:pStyle w:val="47"/>
        <w:snapToGrid w:val="0"/>
        <w:spacing w:after="0" w:line="360" w:lineRule="auto"/>
        <w:ind w:left="0" w:leftChars="0" w:firstLine="56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建设单位、物业服务企业未按本办法履行承接查验义务的，由物业所在地房地产行政主管部门责令限期改正；逾期仍不改正的，作为不良经营行为记入企业信用档案，并予以通报。</w:t>
      </w:r>
    </w:p>
    <w:p>
      <w:pPr>
        <w:widowControl/>
        <w:snapToGrid w:val="0"/>
        <w:spacing w:line="360" w:lineRule="auto"/>
        <w:jc w:val="left"/>
        <w:rPr>
          <w:rFonts w:ascii="仿宋_GB2312" w:hAnsi="Arial" w:eastAsia="仿宋_GB2312"/>
          <w:b/>
          <w:color w:val="000000" w:themeColor="text1"/>
          <w:sz w:val="32"/>
          <w:szCs w:val="32"/>
        </w:rPr>
      </w:pPr>
    </w:p>
    <w:p>
      <w:pPr>
        <w:widowControl/>
        <w:jc w:val="left"/>
        <w:rPr>
          <w:rFonts w:ascii="仿宋_GB2312" w:hAnsi="Arial" w:eastAsia="仿宋_GB2312"/>
          <w:b/>
          <w:color w:val="000000" w:themeColor="text1"/>
          <w:sz w:val="32"/>
          <w:szCs w:val="32"/>
        </w:rPr>
      </w:pPr>
      <w:r>
        <w:rPr>
          <w:color w:val="000000" w:themeColor="text1"/>
        </w:rPr>
        <w:br w:type="page"/>
      </w:r>
    </w:p>
    <w:p>
      <w:pPr>
        <w:pStyle w:val="4"/>
        <w:snapToGrid w:val="0"/>
        <w:spacing w:before="312" w:after="312"/>
        <w:rPr>
          <w:color w:val="000000" w:themeColor="text1"/>
        </w:rPr>
      </w:pPr>
      <w:bookmarkStart w:id="24" w:name="_Toc150435221"/>
      <w:r>
        <w:rPr>
          <w:rFonts w:hint="eastAsia"/>
          <w:color w:val="000000" w:themeColor="text1"/>
        </w:rPr>
        <w:t>（十）前期物业服务合规指南</w:t>
      </w:r>
      <w:bookmarkEnd w:id="24"/>
    </w:p>
    <w:p>
      <w:pPr>
        <w:overflowPunct w:val="0"/>
        <w:snapToGrid w:val="0"/>
        <w:spacing w:beforeLines="50" w:line="360" w:lineRule="auto"/>
        <w:ind w:firstLine="562" w:firstLineChars="200"/>
        <w:rPr>
          <w:rFonts w:ascii="仿宋_GB2312" w:hAnsi="仿宋" w:eastAsia="仿宋_GB2312" w:cs="Times New Roman"/>
          <w:b/>
          <w:color w:val="000000" w:themeColor="text1"/>
          <w:sz w:val="28"/>
          <w:szCs w:val="32"/>
        </w:rPr>
      </w:pPr>
      <w:r>
        <w:rPr>
          <w:rFonts w:hint="eastAsia" w:ascii="仿宋_GB2312" w:hAnsi="仿宋" w:eastAsia="仿宋_GB2312" w:cs="Times New Roman"/>
          <w:b/>
          <w:color w:val="000000" w:themeColor="text1"/>
          <w:sz w:val="28"/>
          <w:szCs w:val="32"/>
        </w:rPr>
        <w:t>根据《北京市物业管理条例》：</w:t>
      </w:r>
    </w:p>
    <w:p>
      <w:pPr>
        <w:overflowPunct w:val="0"/>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w:t>
      </w:r>
      <w:r>
        <w:rPr>
          <w:rFonts w:ascii="仿宋_GB2312" w:hAnsi="仿宋" w:eastAsia="仿宋_GB2312" w:cs="仿宋"/>
          <w:color w:val="000000" w:themeColor="text1"/>
          <w:sz w:val="28"/>
          <w:szCs w:val="28"/>
        </w:rPr>
        <w:t>.</w:t>
      </w:r>
      <w:r>
        <w:rPr>
          <w:rFonts w:hint="eastAsia" w:ascii="仿宋_GB2312" w:hAnsi="仿宋" w:eastAsia="仿宋_GB2312" w:cs="仿宋"/>
          <w:color w:val="000000" w:themeColor="text1"/>
          <w:sz w:val="28"/>
          <w:szCs w:val="28"/>
        </w:rPr>
        <w:t>建设单位承担前期物业服务责任。建设单位销售房屋前，应当选聘前期物业服务人，签订前期物业服务合同。前期物业服务合同期限最长不超过二年，具体期限在前期物业服务合同中约定。</w:t>
      </w:r>
    </w:p>
    <w:p>
      <w:pPr>
        <w:overflowPunct w:val="0"/>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2</w:t>
      </w:r>
      <w:r>
        <w:rPr>
          <w:rFonts w:ascii="仿宋_GB2312" w:hAnsi="仿宋" w:eastAsia="仿宋_GB2312" w:cs="仿宋"/>
          <w:color w:val="000000" w:themeColor="text1"/>
          <w:sz w:val="28"/>
          <w:szCs w:val="28"/>
        </w:rPr>
        <w:t>.</w:t>
      </w:r>
      <w:r>
        <w:rPr>
          <w:rFonts w:hint="eastAsia" w:ascii="仿宋_GB2312" w:hAnsi="仿宋" w:eastAsia="仿宋_GB2312" w:cs="仿宋"/>
          <w:color w:val="000000" w:themeColor="text1"/>
          <w:sz w:val="28"/>
          <w:szCs w:val="28"/>
        </w:rPr>
        <w:t>建设单位与前期物业服务人应当在区住房和城乡建设或者房屋主管部门的指导、监督下，共同确认物业管理区域，对物业管理区域内的共用部位、共用设施设备进行查验，确认现场查验结果，形成查验记录，签订物业承接查验协议，并向业主公开查验的结果。承接查验协议应当对物业承接查验基本情况、存在问题、解决方法及其时限、双方权利义务、违约责任等事项作出约定。对于承接查验发现的问题，建设单位应当在3</w:t>
      </w:r>
      <w:r>
        <w:rPr>
          <w:rFonts w:ascii="仿宋_GB2312" w:hAnsi="仿宋" w:eastAsia="仿宋_GB2312" w:cs="仿宋"/>
          <w:color w:val="000000" w:themeColor="text1"/>
          <w:sz w:val="28"/>
          <w:szCs w:val="28"/>
        </w:rPr>
        <w:t>0</w:t>
      </w:r>
      <w:r>
        <w:rPr>
          <w:rFonts w:hint="eastAsia" w:ascii="仿宋_GB2312" w:hAnsi="仿宋" w:eastAsia="仿宋_GB2312" w:cs="仿宋"/>
          <w:color w:val="000000" w:themeColor="text1"/>
          <w:sz w:val="28"/>
          <w:szCs w:val="28"/>
        </w:rPr>
        <w:t>日内予以整改，或者委托前期物业服务人整改。</w:t>
      </w:r>
    </w:p>
    <w:p>
      <w:pPr>
        <w:overflowPunct w:val="0"/>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3</w:t>
      </w:r>
      <w:r>
        <w:rPr>
          <w:rFonts w:ascii="仿宋_GB2312" w:hAnsi="仿宋" w:eastAsia="仿宋_GB2312" w:cs="仿宋"/>
          <w:color w:val="000000" w:themeColor="text1"/>
          <w:sz w:val="28"/>
          <w:szCs w:val="28"/>
        </w:rPr>
        <w:t>.</w:t>
      </w:r>
      <w:r>
        <w:rPr>
          <w:rFonts w:hint="eastAsia" w:ascii="仿宋_GB2312" w:hAnsi="仿宋" w:eastAsia="仿宋_GB2312" w:cs="仿宋"/>
          <w:color w:val="000000" w:themeColor="text1"/>
          <w:sz w:val="28"/>
          <w:szCs w:val="28"/>
        </w:rPr>
        <w:t>在办理物业承接查验手续时，建设单位应当向前期物业服务人移交下列资料：</w:t>
      </w:r>
    </w:p>
    <w:p>
      <w:pPr>
        <w:overflowPunct w:val="0"/>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（1）物业管理区域划分相关文件；</w:t>
      </w:r>
    </w:p>
    <w:p>
      <w:pPr>
        <w:overflowPunct w:val="0"/>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（2）竣工总平面图，单体建筑、结构、设备的竣工图，配套设施、地下管网工程竣工图等竣工验收资料；</w:t>
      </w:r>
    </w:p>
    <w:p>
      <w:pPr>
        <w:overflowPunct w:val="0"/>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（3）设施设备的安装、使用和维护保养等技术资料；</w:t>
      </w:r>
    </w:p>
    <w:p>
      <w:pPr>
        <w:overflowPunct w:val="0"/>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（4）物业质量保修文件和物业使用说明文件；</w:t>
      </w:r>
    </w:p>
    <w:p>
      <w:pPr>
        <w:overflowPunct w:val="0"/>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（5）物业管理必需的其他资料。</w:t>
      </w:r>
    </w:p>
    <w:p>
      <w:pPr>
        <w:overflowPunct w:val="0"/>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物业已投入使用，上述资料未移交的，应当移交；资料不全的，应当补齐。</w:t>
      </w:r>
    </w:p>
    <w:p>
      <w:pPr>
        <w:overflowPunct w:val="0"/>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4</w:t>
      </w:r>
      <w:r>
        <w:rPr>
          <w:rFonts w:ascii="仿宋_GB2312" w:hAnsi="仿宋" w:eastAsia="仿宋_GB2312" w:cs="仿宋"/>
          <w:color w:val="000000" w:themeColor="text1"/>
          <w:sz w:val="28"/>
          <w:szCs w:val="28"/>
        </w:rPr>
        <w:t>.</w:t>
      </w:r>
      <w:r>
        <w:rPr>
          <w:rFonts w:hint="eastAsia" w:ascii="仿宋_GB2312" w:hAnsi="仿宋" w:eastAsia="仿宋_GB2312" w:cs="仿宋"/>
          <w:color w:val="000000" w:themeColor="text1"/>
          <w:sz w:val="28"/>
          <w:szCs w:val="28"/>
        </w:rPr>
        <w:t>前期物业服务合同生效之日至出售房屋交付之日的当月发生的物业费，由建设单位承担。</w:t>
      </w:r>
    </w:p>
    <w:p>
      <w:pPr>
        <w:overflowPunct w:val="0"/>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5</w:t>
      </w:r>
      <w:r>
        <w:rPr>
          <w:rFonts w:ascii="仿宋_GB2312" w:hAnsi="仿宋" w:eastAsia="仿宋_GB2312" w:cs="仿宋"/>
          <w:color w:val="000000" w:themeColor="text1"/>
          <w:sz w:val="28"/>
          <w:szCs w:val="28"/>
        </w:rPr>
        <w:t>.</w:t>
      </w:r>
      <w:r>
        <w:rPr>
          <w:rFonts w:hint="eastAsia" w:ascii="仿宋_GB2312" w:hAnsi="仿宋" w:eastAsia="仿宋_GB2312" w:cs="仿宋"/>
          <w:color w:val="000000" w:themeColor="text1"/>
          <w:sz w:val="28"/>
          <w:szCs w:val="28"/>
        </w:rPr>
        <w:t>建设单位在销售物业前，应当制定临时管理规约，对有关物业的使用、维护、管理，业主的共同利益，业主应当履行的义务和应当承担的责任等事项依法作出约定，并在销售场所显著位置公示。临时管理规约不得侵害物业买受人的合法权益。</w:t>
      </w:r>
    </w:p>
    <w:p>
      <w:pPr>
        <w:snapToGrid w:val="0"/>
        <w:spacing w:beforeLines="50" w:line="360" w:lineRule="auto"/>
        <w:ind w:firstLine="562" w:firstLineChars="200"/>
        <w:rPr>
          <w:rFonts w:ascii="仿宋_GB2312" w:hAnsi="仿宋" w:eastAsia="仿宋_GB2312" w:cs="仿宋"/>
          <w:b/>
          <w:color w:val="000000" w:themeColor="text1"/>
          <w:sz w:val="40"/>
          <w:szCs w:val="28"/>
        </w:rPr>
      </w:pPr>
      <w:r>
        <w:rPr>
          <w:rFonts w:hint="eastAsia" w:ascii="仿宋_GB2312" w:eastAsia="仿宋_GB2312"/>
          <w:b/>
          <w:color w:val="000000" w:themeColor="text1"/>
          <w:sz w:val="28"/>
        </w:rPr>
        <w:t>风险提示</w:t>
      </w:r>
    </w:p>
    <w:p>
      <w:pPr>
        <w:overflowPunct w:val="0"/>
        <w:snapToGrid w:val="0"/>
        <w:spacing w:beforeLines="50" w:line="360" w:lineRule="auto"/>
        <w:ind w:firstLine="562" w:firstLineChars="200"/>
        <w:rPr>
          <w:rFonts w:ascii="仿宋_GB2312" w:hAnsi="仿宋" w:eastAsia="仿宋_GB2312" w:cs="Times New Roman"/>
          <w:b/>
          <w:color w:val="000000" w:themeColor="text1"/>
          <w:sz w:val="28"/>
          <w:szCs w:val="32"/>
        </w:rPr>
      </w:pPr>
      <w:r>
        <w:rPr>
          <w:rFonts w:hint="eastAsia" w:ascii="仿宋_GB2312" w:hAnsi="仿宋" w:eastAsia="仿宋_GB2312" w:cs="Times New Roman"/>
          <w:b/>
          <w:color w:val="000000" w:themeColor="text1"/>
          <w:sz w:val="28"/>
          <w:szCs w:val="32"/>
        </w:rPr>
        <w:t>根据《北京市物业管理条例》：</w:t>
      </w:r>
    </w:p>
    <w:p>
      <w:pPr>
        <w:overflowPunct w:val="0"/>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建设单位不移交或者补齐资料的，由区住房和城乡建设或者房屋主管部门责令限期改正；逾期不改的，处五万元以上十万元以下罚款。</w:t>
      </w:r>
    </w:p>
    <w:p>
      <w:pPr>
        <w:pStyle w:val="47"/>
        <w:snapToGrid w:val="0"/>
        <w:spacing w:before="156"/>
        <w:rPr>
          <w:rFonts w:ascii="仿宋_GB2312" w:eastAsia="仿宋_GB2312"/>
          <w:color w:val="000000" w:themeColor="text1"/>
        </w:rPr>
      </w:pPr>
      <w:r>
        <w:rPr>
          <w:rFonts w:hint="eastAsia" w:ascii="仿宋_GB2312" w:eastAsia="仿宋_GB2312"/>
          <w:color w:val="000000" w:themeColor="text1"/>
        </w:rPr>
        <w:br w:type="page"/>
      </w:r>
    </w:p>
    <w:p>
      <w:pPr>
        <w:pStyle w:val="4"/>
        <w:snapToGrid w:val="0"/>
        <w:spacing w:before="312" w:after="312"/>
        <w:rPr>
          <w:color w:val="000000" w:themeColor="text1"/>
        </w:rPr>
      </w:pPr>
      <w:bookmarkStart w:id="25" w:name="_Toc150435222"/>
      <w:r>
        <w:rPr>
          <w:rFonts w:hint="eastAsia"/>
          <w:color w:val="000000" w:themeColor="text1"/>
        </w:rPr>
        <w:t>（十一）物业管理合规指南</w:t>
      </w:r>
      <w:bookmarkEnd w:id="25"/>
    </w:p>
    <w:p>
      <w:pPr>
        <w:overflowPunct w:val="0"/>
        <w:snapToGrid w:val="0"/>
        <w:spacing w:line="360" w:lineRule="auto"/>
        <w:ind w:firstLine="562" w:firstLineChars="200"/>
        <w:rPr>
          <w:rFonts w:ascii="仿宋_GB2312" w:hAnsi="仿宋" w:eastAsia="仿宋_GB2312" w:cs="Times New Roman"/>
          <w:b/>
          <w:color w:val="000000" w:themeColor="text1"/>
          <w:sz w:val="28"/>
          <w:szCs w:val="32"/>
        </w:rPr>
      </w:pPr>
      <w:r>
        <w:rPr>
          <w:rFonts w:hint="eastAsia" w:ascii="仿宋_GB2312" w:hAnsi="仿宋" w:eastAsia="仿宋_GB2312" w:cs="Times New Roman"/>
          <w:b/>
          <w:color w:val="000000" w:themeColor="text1"/>
          <w:sz w:val="28"/>
          <w:szCs w:val="32"/>
        </w:rPr>
        <w:t>根据《物业管理条例》（</w:t>
      </w:r>
      <w:r>
        <w:fldChar w:fldCharType="begin"/>
      </w:r>
      <w:r>
        <w:instrText xml:space="preserve"> HYPERLINK "https://baike.baidu.com/item/%E4%B8%AD%E5%8D%8E%E4%BA%BA%E6%B0%91%E5%85%B1%E5%92%8C%E5%9B%BD%E5%9B%BD%E5%8A%A1%E9%99%A2%E4%BB%A4%EF%BC%88%E7%AC%AC379%E5%8F%B7%EF%BC%89/23167289?fromModule=lemma_inlink" \t "_blank" </w:instrText>
      </w:r>
      <w:r>
        <w:fldChar w:fldCharType="separate"/>
      </w:r>
      <w:r>
        <w:rPr>
          <w:rFonts w:ascii="仿宋_GB2312" w:hAnsi="仿宋" w:eastAsia="仿宋_GB2312" w:cs="Times New Roman"/>
          <w:b/>
          <w:color w:val="000000" w:themeColor="text1"/>
          <w:sz w:val="28"/>
          <w:szCs w:val="32"/>
        </w:rPr>
        <w:t>中华人民共和国国务院令第379号</w:t>
      </w:r>
      <w:r>
        <w:rPr>
          <w:rFonts w:ascii="仿宋_GB2312" w:hAnsi="仿宋" w:eastAsia="仿宋_GB2312" w:cs="Times New Roman"/>
          <w:b/>
          <w:color w:val="000000" w:themeColor="text1"/>
          <w:sz w:val="28"/>
          <w:szCs w:val="32"/>
        </w:rPr>
        <w:fldChar w:fldCharType="end"/>
      </w:r>
      <w:r>
        <w:rPr>
          <w:rFonts w:ascii="仿宋_GB2312" w:hAnsi="仿宋" w:eastAsia="仿宋_GB2312" w:cs="Times New Roman"/>
          <w:b/>
          <w:color w:val="000000" w:themeColor="text1"/>
          <w:sz w:val="28"/>
          <w:szCs w:val="32"/>
        </w:rPr>
        <w:t>）</w:t>
      </w:r>
      <w:r>
        <w:rPr>
          <w:rFonts w:hint="eastAsia" w:ascii="仿宋_GB2312" w:hAnsi="仿宋" w:eastAsia="仿宋_GB2312" w:cs="Times New Roman"/>
          <w:b/>
          <w:color w:val="000000" w:themeColor="text1"/>
          <w:sz w:val="28"/>
          <w:szCs w:val="32"/>
        </w:rPr>
        <w:t>：</w:t>
      </w:r>
    </w:p>
    <w:p>
      <w:pPr>
        <w:overflowPunct w:val="0"/>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物业管理区域内按照规划建设的公共建筑和共用设施，不得改变用途。</w:t>
      </w:r>
    </w:p>
    <w:p>
      <w:pPr>
        <w:overflowPunct w:val="0"/>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业主依法确需改变公共建筑和共用设施用途的，应当在依法办理有关手续后告知物业服务企业；物业服务企业确需改变公共建筑和共用设施用途的，应当提请业主大会讨论决定同意后，由业主依法办理有关手续。</w:t>
      </w:r>
    </w:p>
    <w:p>
      <w:pPr>
        <w:overflowPunct w:val="0"/>
        <w:snapToGrid w:val="0"/>
        <w:spacing w:beforeLines="50" w:line="360" w:lineRule="auto"/>
        <w:ind w:firstLine="562" w:firstLineChars="200"/>
        <w:rPr>
          <w:rFonts w:ascii="仿宋_GB2312" w:hAnsi="仿宋" w:eastAsia="仿宋_GB2312" w:cs="Times New Roman"/>
          <w:b/>
          <w:color w:val="000000" w:themeColor="text1"/>
          <w:sz w:val="28"/>
          <w:szCs w:val="32"/>
        </w:rPr>
      </w:pPr>
      <w:r>
        <w:rPr>
          <w:rFonts w:hint="eastAsia" w:ascii="仿宋_GB2312" w:hAnsi="仿宋" w:eastAsia="仿宋_GB2312" w:cs="Times New Roman"/>
          <w:b/>
          <w:color w:val="000000" w:themeColor="text1"/>
          <w:sz w:val="28"/>
          <w:szCs w:val="32"/>
        </w:rPr>
        <w:t>根据《北京市物业管理条例》：</w:t>
      </w:r>
    </w:p>
    <w:p>
      <w:pPr>
        <w:overflowPunct w:val="0"/>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1.接受委托提供物业服务的企业应当具有独立法人资格，拥有相应的专业技术人员，具备为业主提供物业管理专业服务的能力，有条件在物业管理区域设立独立核算的服务机构。</w:t>
      </w:r>
    </w:p>
    <w:p>
      <w:pPr>
        <w:overflowPunct w:val="0"/>
        <w:snapToGrid w:val="0"/>
        <w:spacing w:line="360" w:lineRule="auto"/>
        <w:ind w:firstLine="560" w:firstLineChars="200"/>
        <w:rPr>
          <w:rFonts w:ascii="仿宋_GB2312" w:hAnsi="仿宋" w:eastAsia="仿宋_GB2312" w:cs="仿宋"/>
          <w:color w:val="000000" w:themeColor="text1"/>
          <w:sz w:val="28"/>
          <w:szCs w:val="28"/>
        </w:rPr>
      </w:pPr>
      <w:bookmarkStart w:id="26" w:name="_Hlk32709810"/>
      <w:r>
        <w:rPr>
          <w:rFonts w:hint="eastAsia" w:ascii="仿宋_GB2312" w:hAnsi="仿宋" w:eastAsia="仿宋_GB2312" w:cs="仿宋"/>
          <w:color w:val="000000" w:themeColor="text1"/>
          <w:sz w:val="28"/>
          <w:szCs w:val="28"/>
        </w:rPr>
        <w:t>2.业主委员会或者物业管理委员会应当代表业主与业主共同选聘的物业服务人签订书面合同，就物业服务内容和标准、费用、物业服务用房、合同期限、违约责任等内容进行约定。</w:t>
      </w:r>
    </w:p>
    <w:bookmarkEnd w:id="26"/>
    <w:p>
      <w:pPr>
        <w:overflowPunct w:val="0"/>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物业服务合同签订或者变更之日起十五日内，物业服务企业应当将物业服务合同报街道办事处、乡镇人民政府、区住房和城乡建设或者房屋主管部门备案。</w:t>
      </w:r>
    </w:p>
    <w:p>
      <w:pPr>
        <w:overflowPunct w:val="0"/>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3.物业服务人应当按照物业服务合同的约定提供物业服务，并且遵守下列规定：</w:t>
      </w:r>
    </w:p>
    <w:p>
      <w:pPr>
        <w:overflowPunct w:val="0"/>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（1）提供物业服务符合国家和本市规定的标准、规范；</w:t>
      </w:r>
    </w:p>
    <w:p>
      <w:pPr>
        <w:overflowPunct w:val="0"/>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（2）及时向业主、物业使用人告知安全、合理使用物业的注意事项；</w:t>
      </w:r>
    </w:p>
    <w:p>
      <w:pPr>
        <w:overflowPunct w:val="0"/>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（3）定期听取业主的意见和建议，接受业主监督，改进和完善服务；</w:t>
      </w:r>
    </w:p>
    <w:p>
      <w:pPr>
        <w:overflowPunct w:val="0"/>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（4）对违法建设、违规出租房屋、私拉电线、占用消防通道等行为进行劝阻、制止，劝阻、制止无效的，及时报告行政执法机关；</w:t>
      </w:r>
    </w:p>
    <w:p>
      <w:pPr>
        <w:overflowPunct w:val="0"/>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（5）发现有安全风险隐患的，及时设置警示标志，采取措施排除隐患或者向有关专业机构报告；</w:t>
      </w:r>
    </w:p>
    <w:p>
      <w:pPr>
        <w:overflowPunct w:val="0"/>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（6）对业主、物业使用人违反临时管理规约、管理规约的行为进行劝阻、制止，并及时报告业主委员会或者物业管理委员会；</w:t>
      </w:r>
    </w:p>
    <w:p>
      <w:pPr>
        <w:overflowPunct w:val="0"/>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（7）不得泄露在物业服务活动中获取的业主信息；</w:t>
      </w:r>
    </w:p>
    <w:p>
      <w:pPr>
        <w:overflowPunct w:val="0"/>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（8）履行生活垃圾分类管理责任人责任，指导、监督业主和物业使用人进行生活垃圾分类；</w:t>
      </w:r>
    </w:p>
    <w:p>
      <w:pPr>
        <w:overflowPunct w:val="0"/>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（9）配合街道办事处、乡镇人民政府、行政执法机关和居民委员会、村民委员会做好物业管理相关工作</w:t>
      </w:r>
    </w:p>
    <w:p>
      <w:pPr>
        <w:overflowPunct w:val="0"/>
        <w:snapToGrid w:val="0"/>
        <w:spacing w:line="360" w:lineRule="auto"/>
        <w:ind w:firstLine="560" w:firstLineChars="200"/>
        <w:rPr>
          <w:rFonts w:ascii="仿宋_GB2312" w:hAnsi="仿宋" w:eastAsia="仿宋_GB2312" w:cs="仿宋"/>
          <w:color w:val="000000" w:themeColor="text1"/>
          <w:sz w:val="28"/>
          <w:szCs w:val="28"/>
        </w:rPr>
      </w:pPr>
      <w:bookmarkStart w:id="27" w:name="_Hlk146185224"/>
      <w:r>
        <w:rPr>
          <w:rFonts w:hint="eastAsia" w:ascii="仿宋_GB2312" w:hAnsi="仿宋" w:eastAsia="仿宋_GB2312" w:cs="仿宋"/>
          <w:color w:val="000000" w:themeColor="text1"/>
          <w:sz w:val="28"/>
          <w:szCs w:val="28"/>
        </w:rPr>
        <w:t>4.物业服务企业应当指派项目负责人。项目负责人应当在到岗之日起三日内到项目所在地的居民委员会、村民委员会报到，在居民委员会、村民委员会的监督、指导下参与社区治理工作。</w:t>
      </w:r>
    </w:p>
    <w:bookmarkEnd w:id="27"/>
    <w:p>
      <w:pPr>
        <w:overflowPunct w:val="0"/>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5.物业服务企业可以委托专业评估机构对物业承接和查验、物业服务标准和费用测算、专项维修资金使用方案、物业服务质量等进行评估。</w:t>
      </w:r>
    </w:p>
    <w:p>
      <w:pPr>
        <w:overflowPunct w:val="0"/>
        <w:snapToGrid w:val="0"/>
        <w:spacing w:line="360" w:lineRule="auto"/>
        <w:ind w:firstLine="560" w:firstLineChars="200"/>
        <w:rPr>
          <w:rFonts w:ascii="仿宋_GB2312" w:hAnsi="仿宋" w:eastAsia="仿宋_GB2312" w:cs="仿宋"/>
          <w:color w:val="000000" w:themeColor="text1"/>
          <w:sz w:val="28"/>
          <w:szCs w:val="28"/>
        </w:rPr>
      </w:pPr>
      <w:bookmarkStart w:id="28" w:name="_Hlk146185406"/>
      <w:r>
        <w:rPr>
          <w:rFonts w:hint="eastAsia" w:ascii="仿宋_GB2312" w:hAnsi="仿宋" w:eastAsia="仿宋_GB2312" w:cs="仿宋"/>
          <w:color w:val="000000" w:themeColor="text1"/>
          <w:sz w:val="28"/>
          <w:szCs w:val="28"/>
        </w:rPr>
        <w:t>6.物业服务人可以将物业服务合同中的专项服务事项委托给专业服务企业，但是不得将物业服务合同约定的全部事项一并委托给第三方。</w:t>
      </w:r>
      <w:bookmarkEnd w:id="28"/>
    </w:p>
    <w:p>
      <w:pPr>
        <w:overflowPunct w:val="0"/>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7.物业服务企业可以对拒不缴纳物业费的业主依法提起诉讼或者申请仲裁。</w:t>
      </w:r>
    </w:p>
    <w:p>
      <w:pPr>
        <w:overflowPunct w:val="0"/>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酬金制项目，物业服务企业应当与业主委员会或者物业管理委员会建立物业费和共用部分经营收益的共管账户。</w:t>
      </w:r>
    </w:p>
    <w:p>
      <w:pPr>
        <w:overflowPunct w:val="0"/>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8.物业服务人利用共用部分从事经营活动的，应当将公共收益单独列账。</w:t>
      </w:r>
    </w:p>
    <w:p>
      <w:pPr>
        <w:overflowPunct w:val="0"/>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公共收益归全体业主所有。专项维修资金余额不足首期应筹集金额3</w:t>
      </w:r>
      <w:r>
        <w:rPr>
          <w:rFonts w:ascii="仿宋_GB2312" w:hAnsi="仿宋" w:eastAsia="仿宋_GB2312" w:cs="仿宋"/>
          <w:color w:val="000000" w:themeColor="text1"/>
          <w:sz w:val="28"/>
          <w:szCs w:val="28"/>
        </w:rPr>
        <w:t>0%</w:t>
      </w:r>
      <w:r>
        <w:rPr>
          <w:rFonts w:hint="eastAsia" w:ascii="仿宋_GB2312" w:hAnsi="仿宋" w:eastAsia="仿宋_GB2312" w:cs="仿宋"/>
          <w:color w:val="000000" w:themeColor="text1"/>
          <w:sz w:val="28"/>
          <w:szCs w:val="28"/>
        </w:rPr>
        <w:t>的，5</w:t>
      </w:r>
      <w:r>
        <w:rPr>
          <w:rFonts w:ascii="仿宋_GB2312" w:hAnsi="仿宋" w:eastAsia="仿宋_GB2312" w:cs="仿宋"/>
          <w:color w:val="000000" w:themeColor="text1"/>
          <w:sz w:val="28"/>
          <w:szCs w:val="28"/>
        </w:rPr>
        <w:t>0%</w:t>
      </w:r>
      <w:r>
        <w:rPr>
          <w:rFonts w:hint="eastAsia" w:ascii="仿宋_GB2312" w:hAnsi="仿宋" w:eastAsia="仿宋_GB2312" w:cs="仿宋"/>
          <w:color w:val="000000" w:themeColor="text1"/>
          <w:sz w:val="28"/>
          <w:szCs w:val="28"/>
        </w:rPr>
        <w:t>以上的公共收益金额应当优先用于补充专项维修资金，剩余部分的使用由业主共同决定。</w:t>
      </w:r>
    </w:p>
    <w:p>
      <w:pPr>
        <w:overflowPunct w:val="0"/>
        <w:snapToGrid w:val="0"/>
        <w:spacing w:line="360" w:lineRule="auto"/>
        <w:ind w:firstLine="560" w:firstLineChars="200"/>
        <w:rPr>
          <w:rFonts w:ascii="仿宋_GB2312" w:hAnsi="仿宋" w:eastAsia="仿宋_GB2312" w:cs="仿宋"/>
          <w:color w:val="000000" w:themeColor="text1"/>
          <w:sz w:val="28"/>
          <w:szCs w:val="28"/>
        </w:rPr>
      </w:pPr>
      <w:bookmarkStart w:id="29" w:name="_Hlk146185783"/>
      <w:r>
        <w:rPr>
          <w:rFonts w:hint="eastAsia" w:ascii="仿宋_GB2312" w:hAnsi="仿宋" w:eastAsia="仿宋_GB2312" w:cs="仿宋"/>
          <w:color w:val="000000" w:themeColor="text1"/>
          <w:sz w:val="28"/>
          <w:szCs w:val="28"/>
        </w:rPr>
        <w:t>9.物业服务合同期限届满前六个月，业主委员会或者物业管理委员会应当组织业主共同决定续聘或者另聘物业服务人，并将决定书面告知原物业服务人。原物业服务人接受续聘的，双方应当在物业服务合同届满前重新签订物业服务合同。物业服务人不接受续聘的，应当提前九十日书面告知业主委员会或者物业管理委员会。</w:t>
      </w:r>
    </w:p>
    <w:p>
      <w:pPr>
        <w:overflowPunct w:val="0"/>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物业服务合同期限届满、业主没有共同作出续聘或者另聘物业服务人决定，物业服务人按照原合同继续提供服务的，原合同权利义务延续。在合同权利义务延续期间，任何一方提出终止合同的，应当提前六十日书面告知对方。</w:t>
      </w:r>
    </w:p>
    <w:bookmarkEnd w:id="29"/>
    <w:p>
      <w:pPr>
        <w:overflowPunct w:val="0"/>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10.业主共同决定解聘物业服务人的，物业服务人应当自接到通知之日起三十日内履行下列交接义务，并且退出物业管理区域：</w:t>
      </w:r>
    </w:p>
    <w:p>
      <w:pPr>
        <w:overflowPunct w:val="0"/>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（1）移交物业共用部分；</w:t>
      </w:r>
    </w:p>
    <w:p>
      <w:pPr>
        <w:overflowPunct w:val="0"/>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（2）移交档案和资料，执行《北京市物业管理条例》第二十一条和七十一条规定的内容；</w:t>
      </w:r>
    </w:p>
    <w:p>
      <w:pPr>
        <w:overflowPunct w:val="0"/>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（3）结清预收、代收的有关费用；</w:t>
      </w:r>
    </w:p>
    <w:p>
      <w:pPr>
        <w:overflowPunct w:val="0"/>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（4）物业服务合同约定的其他事项。</w:t>
      </w:r>
    </w:p>
    <w:p>
      <w:pPr>
        <w:overflowPunct w:val="0"/>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原物业服务人不得以业主欠交物业费、对业主共同决定有异议等为由拒绝办理交接，不得以任何理由阻挠新物业服务人进场服务。</w:t>
      </w:r>
    </w:p>
    <w:p>
      <w:pPr>
        <w:overflowPunct w:val="0"/>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原物业服务人应当在办理交接至退出物业管理区域期间，维持正常的物业管理秩序。</w:t>
      </w:r>
    </w:p>
    <w:p>
      <w:pPr>
        <w:overflowPunct w:val="0"/>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新物业服务人不得强行接管物业，按照约定承接物业时，应当对共用部位、共用设施设备进行查验。</w:t>
      </w:r>
    </w:p>
    <w:p>
      <w:pPr>
        <w:overflowPunct w:val="0"/>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11.本市建立应急物业服务机制。物业管理区域突发失管状态时，街道办事处、乡镇人民政府应当组织有关单位确定应急物业服务人，提供供水、垃圾清运、电梯运行等维持业主基本生活服务事项的应急服务。</w:t>
      </w:r>
    </w:p>
    <w:p>
      <w:pPr>
        <w:overflowPunct w:val="0"/>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提供应急物业服务的，街道办事处、乡镇人民政府应当将服务内容、服务期限、服务费用等相关内容在物业管理区域内显著位置公示。应急物业服务期限不超过六个月，费用由全体业主承担。</w:t>
      </w:r>
    </w:p>
    <w:p>
      <w:pPr>
        <w:overflowPunct w:val="0"/>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应急物业服务期间，街道办事处、乡镇人民政府应当组织业主共同决定选聘新物业服务人，协调新物业服务人和应急物业服务人做好交接。</w:t>
      </w:r>
    </w:p>
    <w:p>
      <w:pPr>
        <w:snapToGrid w:val="0"/>
        <w:spacing w:beforeLines="50" w:line="360" w:lineRule="auto"/>
        <w:ind w:firstLine="562" w:firstLineChars="200"/>
        <w:rPr>
          <w:rFonts w:ascii="仿宋_GB2312" w:hAnsi="仿宋" w:eastAsia="仿宋_GB2312" w:cs="仿宋"/>
          <w:b/>
          <w:color w:val="000000" w:themeColor="text1"/>
          <w:sz w:val="40"/>
          <w:szCs w:val="28"/>
        </w:rPr>
      </w:pPr>
      <w:r>
        <w:rPr>
          <w:rFonts w:hint="eastAsia" w:ascii="仿宋_GB2312" w:eastAsia="仿宋_GB2312"/>
          <w:b/>
          <w:color w:val="000000" w:themeColor="text1"/>
          <w:sz w:val="28"/>
        </w:rPr>
        <w:t>风险提示</w:t>
      </w:r>
    </w:p>
    <w:p>
      <w:pPr>
        <w:overflowPunct w:val="0"/>
        <w:snapToGrid w:val="0"/>
        <w:spacing w:beforeLines="50" w:line="360" w:lineRule="auto"/>
        <w:ind w:firstLine="562" w:firstLineChars="200"/>
        <w:rPr>
          <w:rFonts w:ascii="仿宋_GB2312" w:hAnsi="仿宋" w:eastAsia="仿宋_GB2312" w:cs="Times New Roman"/>
          <w:b/>
          <w:color w:val="000000" w:themeColor="text1"/>
          <w:sz w:val="28"/>
          <w:szCs w:val="32"/>
        </w:rPr>
      </w:pPr>
      <w:r>
        <w:rPr>
          <w:rFonts w:hint="eastAsia" w:ascii="仿宋_GB2312" w:hAnsi="仿宋" w:eastAsia="仿宋_GB2312" w:cs="Times New Roman"/>
          <w:b/>
          <w:color w:val="000000" w:themeColor="text1"/>
          <w:sz w:val="28"/>
          <w:szCs w:val="32"/>
        </w:rPr>
        <w:t>《物业管理条例》：</w:t>
      </w:r>
    </w:p>
    <w:p>
      <w:pPr>
        <w:overflowPunct w:val="0"/>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违反本条例的规定，有下列行为之一的，由县级以上地方人民政府房地产行政主管部门责令限期改正，给予警告，并按照本条第二款的规定处以罚款；所得收益，用于物业管理区域内物业共用部位、共用设施设备的维修、养护，剩余部分按照业主大会的决定使用：</w:t>
      </w:r>
    </w:p>
    <w:p>
      <w:pPr>
        <w:overflowPunct w:val="0"/>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（一）擅自改变物业管理区域内按照规划建设的公共建筑和共用设施用途的。</w:t>
      </w:r>
    </w:p>
    <w:p>
      <w:pPr>
        <w:overflowPunct w:val="0"/>
        <w:snapToGrid w:val="0"/>
        <w:spacing w:beforeLines="50" w:line="360" w:lineRule="auto"/>
        <w:ind w:firstLine="562" w:firstLineChars="200"/>
        <w:rPr>
          <w:rFonts w:ascii="仿宋_GB2312" w:hAnsi="仿宋" w:eastAsia="仿宋_GB2312" w:cs="Times New Roman"/>
          <w:b/>
          <w:color w:val="000000" w:themeColor="text1"/>
          <w:sz w:val="28"/>
          <w:szCs w:val="32"/>
        </w:rPr>
      </w:pPr>
      <w:r>
        <w:rPr>
          <w:rFonts w:hint="eastAsia" w:ascii="仿宋_GB2312" w:hAnsi="仿宋" w:eastAsia="仿宋_GB2312" w:cs="Times New Roman"/>
          <w:b/>
          <w:color w:val="000000" w:themeColor="text1"/>
          <w:sz w:val="28"/>
          <w:szCs w:val="32"/>
        </w:rPr>
        <w:t>《北京市物业管理条例》：</w:t>
      </w:r>
    </w:p>
    <w:p>
      <w:pPr>
        <w:overflowPunct w:val="0"/>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第九十一条　</w:t>
      </w:r>
      <w:bookmarkStart w:id="30" w:name="_Hlk146187821"/>
      <w:r>
        <w:rPr>
          <w:rFonts w:hint="eastAsia" w:ascii="仿宋_GB2312" w:hAnsi="仿宋" w:eastAsia="仿宋_GB2312" w:cs="仿宋"/>
          <w:color w:val="000000" w:themeColor="text1"/>
          <w:sz w:val="28"/>
          <w:szCs w:val="28"/>
        </w:rPr>
        <w:t>违反本条例第六十三条规定，物业服务人未按规定将物业服务合同报街道办事处、乡镇人民政府、区住房和城乡建设或者房屋主管部门备案的，由街道办事处、乡镇人民政府责令限期改正，给予警告；逾期不改的，处五千元以上一万元以下的罚款。</w:t>
      </w:r>
    </w:p>
    <w:bookmarkEnd w:id="30"/>
    <w:p>
      <w:pPr>
        <w:overflowPunct w:val="0"/>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第九十二条　</w:t>
      </w:r>
      <w:bookmarkStart w:id="31" w:name="_Hlk146187953"/>
      <w:r>
        <w:rPr>
          <w:rFonts w:hint="eastAsia" w:ascii="仿宋_GB2312" w:hAnsi="仿宋" w:eastAsia="仿宋_GB2312" w:cs="仿宋"/>
          <w:color w:val="000000" w:themeColor="text1"/>
          <w:sz w:val="28"/>
          <w:szCs w:val="28"/>
        </w:rPr>
        <w:t>违反本条例第六十五条第（一）项至第（六）项规定，物业服务人提供服务未遵守相关规定的，由区住房和城乡建设或者房屋主管部门给予警告，处五千元以上一万元以下的罚款；违反第（七）项规定，物业服务人泄露业主个人信息的，由公安机关依法处理；违反第（八）项规定，物业服务人未履行生活垃圾分类管理责任人责任的，由城市管理综合行政执法部门依照生活垃圾管理法律法规予以处理。</w:t>
      </w:r>
      <w:bookmarkEnd w:id="31"/>
    </w:p>
    <w:p>
      <w:pPr>
        <w:overflowPunct w:val="0"/>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第九十三条　违反本条例第六十六条规定，物业服务企业项目负责人未按时报到的，由街道办事处、乡镇人民政府责令限期改正，给予警告；逾期不改的，处五千元以上一万元以下的罚款。</w:t>
      </w:r>
    </w:p>
    <w:p>
      <w:pPr>
        <w:overflowPunct w:val="0"/>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第九十六条　</w:t>
      </w:r>
      <w:bookmarkStart w:id="32" w:name="_Hlk146188606"/>
      <w:r>
        <w:rPr>
          <w:rFonts w:hint="eastAsia" w:ascii="仿宋_GB2312" w:hAnsi="仿宋" w:eastAsia="仿宋_GB2312" w:cs="仿宋"/>
          <w:color w:val="000000" w:themeColor="text1"/>
          <w:sz w:val="28"/>
          <w:szCs w:val="28"/>
        </w:rPr>
        <w:t>违反本条例第七十四条规定，物业服务人挪用、侵占公共收益的，由区住房和城乡建设或者房屋主管部门责令退还，并处挪用、侵占金额二倍以下的罚款。</w:t>
      </w:r>
    </w:p>
    <w:bookmarkEnd w:id="32"/>
    <w:p>
      <w:pPr>
        <w:overflowPunct w:val="0"/>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第九十七条　</w:t>
      </w:r>
      <w:bookmarkStart w:id="33" w:name="_Hlk146188696"/>
      <w:r>
        <w:rPr>
          <w:rFonts w:hint="eastAsia" w:ascii="仿宋_GB2312" w:hAnsi="仿宋" w:eastAsia="仿宋_GB2312" w:cs="仿宋"/>
          <w:color w:val="000000" w:themeColor="text1"/>
          <w:sz w:val="28"/>
          <w:szCs w:val="28"/>
        </w:rPr>
        <w:t>物业服务人违反本条例第七十六条第一款规定的，由区住房和城乡建设或者房屋主管部门责令限期改正；逾期不改的，对物业服务人予以通报，对拒不移交有关资料或者财物的，处一万元以上十万元以下的罚款；拒不退出物业管理区域的，自规定时间届满次日起处每日一万元的罚款。物业服务人有违反治安管理行为的，由公安机关依法给予治安管理处罚。</w:t>
      </w:r>
      <w:bookmarkEnd w:id="33"/>
    </w:p>
    <w:p>
      <w:pPr>
        <w:overflowPunct w:val="0"/>
        <w:snapToGrid w:val="0"/>
        <w:spacing w:line="360" w:lineRule="auto"/>
        <w:ind w:firstLine="560" w:firstLineChars="200"/>
        <w:rPr>
          <w:rFonts w:ascii="仿宋_GB2312" w:hAnsi="仿宋" w:eastAsia="仿宋_GB2312" w:cs="仿宋"/>
          <w:color w:val="000000" w:themeColor="text1"/>
          <w:sz w:val="28"/>
          <w:szCs w:val="28"/>
        </w:rPr>
      </w:pPr>
    </w:p>
    <w:p>
      <w:pPr>
        <w:widowControl/>
        <w:snapToGrid w:val="0"/>
        <w:jc w:val="left"/>
        <w:rPr>
          <w:rFonts w:ascii="仿宋_GB2312" w:hAnsi="Arial" w:eastAsia="仿宋_GB2312"/>
          <w:color w:val="000000" w:themeColor="text1"/>
          <w:sz w:val="32"/>
        </w:rPr>
      </w:pPr>
      <w:r>
        <w:rPr>
          <w:rFonts w:hint="eastAsia" w:ascii="仿宋_GB2312" w:eastAsia="仿宋_GB2312"/>
          <w:color w:val="000000" w:themeColor="text1"/>
        </w:rPr>
        <w:br w:type="page"/>
      </w:r>
    </w:p>
    <w:p>
      <w:pPr>
        <w:pStyle w:val="4"/>
        <w:snapToGrid w:val="0"/>
        <w:spacing w:before="312" w:after="312"/>
        <w:rPr>
          <w:color w:val="000000" w:themeColor="text1"/>
        </w:rPr>
      </w:pPr>
      <w:bookmarkStart w:id="34" w:name="_Toc150435223"/>
      <w:r>
        <w:rPr>
          <w:rFonts w:hint="eastAsia"/>
          <w:color w:val="000000" w:themeColor="text1"/>
        </w:rPr>
        <w:t>（十二）物业的使用与维护合规指南</w:t>
      </w:r>
      <w:bookmarkEnd w:id="34"/>
    </w:p>
    <w:p>
      <w:pPr>
        <w:overflowPunct w:val="0"/>
        <w:snapToGrid w:val="0"/>
        <w:spacing w:beforeLines="50" w:line="360" w:lineRule="auto"/>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color w:val="000000" w:themeColor="text1"/>
          <w:sz w:val="28"/>
          <w:szCs w:val="28"/>
        </w:rPr>
        <w:t>根据《北京市物业管理条例》：</w:t>
      </w:r>
    </w:p>
    <w:p>
      <w:pPr>
        <w:overflowPunct w:val="0"/>
        <w:snapToGrid w:val="0"/>
        <w:spacing w:line="360" w:lineRule="auto"/>
        <w:ind w:firstLine="560" w:firstLineChars="200"/>
        <w:rPr>
          <w:rFonts w:ascii="仿宋_GB2312" w:hAnsi="Times New Roman" w:eastAsia="仿宋_GB2312"/>
          <w:color w:val="000000" w:themeColor="text1"/>
          <w:sz w:val="28"/>
          <w:szCs w:val="28"/>
        </w:rPr>
      </w:pPr>
      <w:r>
        <w:rPr>
          <w:rFonts w:hint="eastAsia" w:ascii="仿宋_GB2312" w:hAnsi="Times New Roman" w:eastAsia="仿宋_GB2312"/>
          <w:color w:val="000000" w:themeColor="text1"/>
          <w:sz w:val="28"/>
          <w:szCs w:val="28"/>
        </w:rPr>
        <w:t>1.业主、物业使用人应当遵守法律法规和规章的规定以及临时管理规约、管理规约的约定，按照规划用途合理、安全使用物业。</w:t>
      </w:r>
    </w:p>
    <w:p>
      <w:pPr>
        <w:overflowPunct w:val="0"/>
        <w:snapToGrid w:val="0"/>
        <w:spacing w:line="360" w:lineRule="auto"/>
        <w:ind w:firstLine="560" w:firstLineChars="200"/>
        <w:rPr>
          <w:rFonts w:ascii="仿宋_GB2312" w:hAnsi="Times New Roman" w:eastAsia="仿宋_GB2312"/>
          <w:color w:val="000000" w:themeColor="text1"/>
          <w:sz w:val="28"/>
          <w:szCs w:val="28"/>
        </w:rPr>
      </w:pPr>
      <w:r>
        <w:rPr>
          <w:rFonts w:hint="eastAsia" w:ascii="仿宋_GB2312" w:hAnsi="Times New Roman" w:eastAsia="仿宋_GB2312"/>
          <w:color w:val="000000" w:themeColor="text1"/>
          <w:sz w:val="28"/>
          <w:szCs w:val="28"/>
        </w:rPr>
        <w:t>业主、物业使用人、物业服务人等不得实施下列行为：</w:t>
      </w:r>
    </w:p>
    <w:p>
      <w:pPr>
        <w:overflowPunct w:val="0"/>
        <w:snapToGrid w:val="0"/>
        <w:spacing w:line="360" w:lineRule="auto"/>
        <w:ind w:firstLine="560" w:firstLineChars="200"/>
        <w:rPr>
          <w:rFonts w:ascii="仿宋_GB2312" w:hAnsi="Times New Roman" w:eastAsia="仿宋_GB2312"/>
          <w:color w:val="000000" w:themeColor="text1"/>
          <w:sz w:val="28"/>
          <w:szCs w:val="28"/>
        </w:rPr>
      </w:pPr>
      <w:r>
        <w:rPr>
          <w:rFonts w:hint="eastAsia" w:ascii="仿宋_GB2312" w:hAnsi="Times New Roman" w:eastAsia="仿宋_GB2312"/>
          <w:color w:val="000000" w:themeColor="text1"/>
          <w:sz w:val="28"/>
          <w:szCs w:val="28"/>
        </w:rPr>
        <w:t>（一）损坏、擅自拆改建筑物承重结构、主体结构；</w:t>
      </w:r>
    </w:p>
    <w:p>
      <w:pPr>
        <w:overflowPunct w:val="0"/>
        <w:snapToGrid w:val="0"/>
        <w:spacing w:line="360" w:lineRule="auto"/>
        <w:ind w:firstLine="560" w:firstLineChars="200"/>
        <w:rPr>
          <w:rFonts w:ascii="仿宋_GB2312" w:hAnsi="Times New Roman" w:eastAsia="仿宋_GB2312"/>
          <w:color w:val="000000" w:themeColor="text1"/>
          <w:sz w:val="28"/>
          <w:szCs w:val="28"/>
        </w:rPr>
      </w:pPr>
      <w:r>
        <w:rPr>
          <w:rFonts w:hint="eastAsia" w:ascii="仿宋_GB2312" w:hAnsi="Times New Roman" w:eastAsia="仿宋_GB2312"/>
          <w:color w:val="000000" w:themeColor="text1"/>
          <w:sz w:val="28"/>
          <w:szCs w:val="28"/>
        </w:rPr>
        <w:t>（二）擅自利用共用部位、共用设施设备进行经营；</w:t>
      </w:r>
    </w:p>
    <w:p>
      <w:pPr>
        <w:overflowPunct w:val="0"/>
        <w:snapToGrid w:val="0"/>
        <w:spacing w:line="360" w:lineRule="auto"/>
        <w:ind w:firstLine="560" w:firstLineChars="200"/>
        <w:rPr>
          <w:rFonts w:ascii="仿宋_GB2312" w:hAnsi="Times New Roman" w:eastAsia="仿宋_GB2312"/>
          <w:color w:val="000000" w:themeColor="text1"/>
          <w:sz w:val="28"/>
          <w:szCs w:val="28"/>
        </w:rPr>
      </w:pPr>
      <w:r>
        <w:rPr>
          <w:rFonts w:hint="eastAsia" w:ascii="仿宋_GB2312" w:hAnsi="Times New Roman" w:eastAsia="仿宋_GB2312"/>
          <w:color w:val="000000" w:themeColor="text1"/>
          <w:sz w:val="28"/>
          <w:szCs w:val="28"/>
        </w:rPr>
        <w:t>（三）违法搭建建筑物、构筑物、障碍物或者私挖地下空间；</w:t>
      </w:r>
    </w:p>
    <w:p>
      <w:pPr>
        <w:overflowPunct w:val="0"/>
        <w:snapToGrid w:val="0"/>
        <w:spacing w:line="360" w:lineRule="auto"/>
        <w:ind w:firstLine="560" w:firstLineChars="200"/>
        <w:rPr>
          <w:rFonts w:ascii="仿宋_GB2312" w:hAnsi="Times New Roman" w:eastAsia="仿宋_GB2312"/>
          <w:color w:val="000000" w:themeColor="text1"/>
          <w:sz w:val="28"/>
          <w:szCs w:val="28"/>
        </w:rPr>
      </w:pPr>
      <w:r>
        <w:rPr>
          <w:rFonts w:hint="eastAsia" w:ascii="仿宋_GB2312" w:hAnsi="Times New Roman" w:eastAsia="仿宋_GB2312"/>
          <w:color w:val="000000" w:themeColor="text1"/>
          <w:sz w:val="28"/>
          <w:szCs w:val="28"/>
        </w:rPr>
        <w:t>（四）违反国家规定，制造、储存、使用、处置爆炸性、毒害性、放射性、腐蚀性物质或者传染病病原体等危险物质；</w:t>
      </w:r>
    </w:p>
    <w:p>
      <w:pPr>
        <w:overflowPunct w:val="0"/>
        <w:snapToGrid w:val="0"/>
        <w:spacing w:line="360" w:lineRule="auto"/>
        <w:ind w:firstLine="560" w:firstLineChars="200"/>
        <w:rPr>
          <w:rFonts w:ascii="仿宋_GB2312" w:hAnsi="Times New Roman" w:eastAsia="仿宋_GB2312"/>
          <w:color w:val="000000" w:themeColor="text1"/>
          <w:sz w:val="28"/>
          <w:szCs w:val="28"/>
        </w:rPr>
      </w:pPr>
      <w:r>
        <w:rPr>
          <w:rFonts w:hint="eastAsia" w:ascii="仿宋_GB2312" w:hAnsi="Times New Roman" w:eastAsia="仿宋_GB2312"/>
          <w:color w:val="000000" w:themeColor="text1"/>
          <w:sz w:val="28"/>
          <w:szCs w:val="28"/>
        </w:rPr>
        <w:t>（五）违规私拉电线、电缆为电动汽车、电动自行车、电动摩托车和电动三轮车等充电；</w:t>
      </w:r>
    </w:p>
    <w:p>
      <w:pPr>
        <w:overflowPunct w:val="0"/>
        <w:snapToGrid w:val="0"/>
        <w:spacing w:line="360" w:lineRule="auto"/>
        <w:ind w:firstLine="560" w:firstLineChars="200"/>
        <w:rPr>
          <w:rFonts w:ascii="仿宋_GB2312" w:hAnsi="Times New Roman" w:eastAsia="仿宋_GB2312"/>
          <w:color w:val="000000" w:themeColor="text1"/>
          <w:sz w:val="28"/>
          <w:szCs w:val="28"/>
        </w:rPr>
      </w:pPr>
      <w:r>
        <w:rPr>
          <w:rFonts w:hint="eastAsia" w:ascii="仿宋_GB2312" w:hAnsi="Times New Roman" w:eastAsia="仿宋_GB2312"/>
          <w:color w:val="000000" w:themeColor="text1"/>
          <w:sz w:val="28"/>
          <w:szCs w:val="28"/>
        </w:rPr>
        <w:t>（六）擅自拆改供水、排水、再生水等管线；</w:t>
      </w:r>
    </w:p>
    <w:p>
      <w:pPr>
        <w:overflowPunct w:val="0"/>
        <w:snapToGrid w:val="0"/>
        <w:spacing w:line="360" w:lineRule="auto"/>
        <w:ind w:firstLine="560" w:firstLineChars="200"/>
        <w:rPr>
          <w:rFonts w:ascii="仿宋_GB2312" w:hAnsi="Times New Roman" w:eastAsia="仿宋_GB2312"/>
          <w:color w:val="000000" w:themeColor="text1"/>
          <w:sz w:val="28"/>
          <w:szCs w:val="28"/>
        </w:rPr>
      </w:pPr>
      <w:r>
        <w:rPr>
          <w:rFonts w:hint="eastAsia" w:ascii="仿宋_GB2312" w:hAnsi="Times New Roman" w:eastAsia="仿宋_GB2312"/>
          <w:color w:val="000000" w:themeColor="text1"/>
          <w:sz w:val="28"/>
          <w:szCs w:val="28"/>
        </w:rPr>
        <w:t>（七）从建筑物中抛掷物品；</w:t>
      </w:r>
    </w:p>
    <w:p>
      <w:pPr>
        <w:overflowPunct w:val="0"/>
        <w:snapToGrid w:val="0"/>
        <w:spacing w:line="360" w:lineRule="auto"/>
        <w:ind w:firstLine="560" w:firstLineChars="200"/>
        <w:rPr>
          <w:rFonts w:ascii="仿宋_GB2312" w:hAnsi="Times New Roman" w:eastAsia="仿宋_GB2312"/>
          <w:color w:val="000000" w:themeColor="text1"/>
          <w:sz w:val="28"/>
          <w:szCs w:val="28"/>
        </w:rPr>
      </w:pPr>
      <w:r>
        <w:rPr>
          <w:rFonts w:hint="eastAsia" w:ascii="仿宋_GB2312" w:hAnsi="Times New Roman" w:eastAsia="仿宋_GB2312"/>
          <w:color w:val="000000" w:themeColor="text1"/>
          <w:sz w:val="28"/>
          <w:szCs w:val="28"/>
        </w:rPr>
        <w:t>（八）制造超标噪音；</w:t>
      </w:r>
    </w:p>
    <w:p>
      <w:pPr>
        <w:overflowPunct w:val="0"/>
        <w:snapToGrid w:val="0"/>
        <w:spacing w:line="360" w:lineRule="auto"/>
        <w:ind w:firstLine="560" w:firstLineChars="200"/>
        <w:rPr>
          <w:rFonts w:ascii="仿宋_GB2312" w:hAnsi="Times New Roman" w:eastAsia="仿宋_GB2312"/>
          <w:color w:val="000000" w:themeColor="text1"/>
          <w:sz w:val="28"/>
          <w:szCs w:val="28"/>
        </w:rPr>
      </w:pPr>
      <w:r>
        <w:rPr>
          <w:rFonts w:hint="eastAsia" w:ascii="仿宋_GB2312" w:hAnsi="Times New Roman" w:eastAsia="仿宋_GB2312"/>
          <w:color w:val="000000" w:themeColor="text1"/>
          <w:sz w:val="28"/>
          <w:szCs w:val="28"/>
        </w:rPr>
        <w:t>（九）侵占绿地、毁坏绿化植物和绿化设施；</w:t>
      </w:r>
    </w:p>
    <w:p>
      <w:pPr>
        <w:overflowPunct w:val="0"/>
        <w:snapToGrid w:val="0"/>
        <w:spacing w:line="360" w:lineRule="auto"/>
        <w:ind w:firstLine="560" w:firstLineChars="200"/>
        <w:rPr>
          <w:rFonts w:ascii="仿宋_GB2312" w:hAnsi="Times New Roman" w:eastAsia="仿宋_GB2312"/>
          <w:color w:val="000000" w:themeColor="text1"/>
          <w:sz w:val="28"/>
          <w:szCs w:val="28"/>
        </w:rPr>
      </w:pPr>
      <w:r>
        <w:rPr>
          <w:rFonts w:hint="eastAsia" w:ascii="仿宋_GB2312" w:hAnsi="Times New Roman" w:eastAsia="仿宋_GB2312"/>
          <w:color w:val="000000" w:themeColor="text1"/>
          <w:sz w:val="28"/>
          <w:szCs w:val="28"/>
        </w:rPr>
        <w:t>（十）擅自通过设置地锁、石墩、栅栏等障碍物和乱堆乱放杂物等方式，占用、堵塞、封闭消防通道、疏散通道等共用部位，或者损坏消防设施等共用设施设备；</w:t>
      </w:r>
    </w:p>
    <w:p>
      <w:pPr>
        <w:overflowPunct w:val="0"/>
        <w:snapToGrid w:val="0"/>
        <w:spacing w:line="360" w:lineRule="auto"/>
        <w:ind w:firstLine="560" w:firstLineChars="200"/>
        <w:rPr>
          <w:rFonts w:ascii="仿宋_GB2312" w:hAnsi="Times New Roman" w:eastAsia="仿宋_GB2312"/>
          <w:color w:val="000000" w:themeColor="text1"/>
          <w:sz w:val="28"/>
          <w:szCs w:val="28"/>
        </w:rPr>
      </w:pPr>
      <w:r>
        <w:rPr>
          <w:rFonts w:hint="eastAsia" w:ascii="仿宋_GB2312" w:hAnsi="Times New Roman" w:eastAsia="仿宋_GB2312"/>
          <w:color w:val="000000" w:themeColor="text1"/>
          <w:sz w:val="28"/>
          <w:szCs w:val="28"/>
        </w:rPr>
        <w:t>（十一）擅自改变物业规划用途；</w:t>
      </w:r>
    </w:p>
    <w:p>
      <w:pPr>
        <w:overflowPunct w:val="0"/>
        <w:snapToGrid w:val="0"/>
        <w:spacing w:line="360" w:lineRule="auto"/>
        <w:ind w:firstLine="560" w:firstLineChars="200"/>
        <w:rPr>
          <w:rFonts w:ascii="仿宋_GB2312" w:hAnsi="Times New Roman" w:eastAsia="仿宋_GB2312"/>
          <w:color w:val="000000" w:themeColor="text1"/>
          <w:sz w:val="28"/>
          <w:szCs w:val="28"/>
        </w:rPr>
      </w:pPr>
      <w:r>
        <w:rPr>
          <w:rFonts w:hint="eastAsia" w:ascii="仿宋_GB2312" w:hAnsi="Times New Roman" w:eastAsia="仿宋_GB2312"/>
          <w:color w:val="000000" w:themeColor="text1"/>
          <w:sz w:val="28"/>
          <w:szCs w:val="28"/>
        </w:rPr>
        <w:t>（十二）违反规定饲养动物；</w:t>
      </w:r>
    </w:p>
    <w:p>
      <w:pPr>
        <w:overflowPunct w:val="0"/>
        <w:snapToGrid w:val="0"/>
        <w:spacing w:line="360" w:lineRule="auto"/>
        <w:ind w:firstLine="560" w:firstLineChars="200"/>
        <w:rPr>
          <w:rFonts w:ascii="仿宋_GB2312" w:hAnsi="Times New Roman" w:eastAsia="仿宋_GB2312"/>
          <w:color w:val="000000" w:themeColor="text1"/>
          <w:sz w:val="28"/>
          <w:szCs w:val="28"/>
        </w:rPr>
      </w:pPr>
      <w:r>
        <w:rPr>
          <w:rFonts w:hint="eastAsia" w:ascii="仿宋_GB2312" w:hAnsi="Times New Roman" w:eastAsia="仿宋_GB2312"/>
          <w:color w:val="000000" w:themeColor="text1"/>
          <w:sz w:val="28"/>
          <w:szCs w:val="28"/>
        </w:rPr>
        <w:t>（十三）违反规定出租房屋。</w:t>
      </w:r>
    </w:p>
    <w:p>
      <w:pPr>
        <w:overflowPunct w:val="0"/>
        <w:snapToGrid w:val="0"/>
        <w:spacing w:line="360" w:lineRule="auto"/>
        <w:ind w:firstLine="560" w:firstLineChars="200"/>
        <w:rPr>
          <w:rFonts w:ascii="仿宋_GB2312" w:hAnsi="Times New Roman" w:eastAsia="仿宋_GB2312"/>
          <w:color w:val="000000" w:themeColor="text1"/>
          <w:sz w:val="28"/>
          <w:szCs w:val="28"/>
        </w:rPr>
      </w:pPr>
      <w:r>
        <w:rPr>
          <w:rFonts w:hint="eastAsia" w:ascii="仿宋_GB2312" w:hAnsi="Times New Roman" w:eastAsia="仿宋_GB2312"/>
          <w:color w:val="000000" w:themeColor="text1"/>
          <w:sz w:val="28"/>
          <w:szCs w:val="28"/>
        </w:rPr>
        <w:t>发生本条第二款规定行为的，利害关系人有权投诉、举报，业主委员会或者物业管理委员会、物业服务人应当及时劝阻；劝阻无效的，应当向街道办事处、乡镇人民政府或者行政执法机关报告。</w:t>
      </w:r>
    </w:p>
    <w:p>
      <w:pPr>
        <w:overflowPunct w:val="0"/>
        <w:snapToGrid w:val="0"/>
        <w:spacing w:line="360" w:lineRule="auto"/>
        <w:ind w:firstLine="560" w:firstLineChars="200"/>
        <w:rPr>
          <w:rFonts w:ascii="仿宋_GB2312" w:hAnsi="Times New Roman" w:eastAsia="仿宋_GB2312" w:cs="Times New Roman"/>
          <w:color w:val="000000" w:themeColor="text1"/>
          <w:sz w:val="28"/>
          <w:szCs w:val="32"/>
        </w:rPr>
      </w:pPr>
      <w:r>
        <w:rPr>
          <w:rFonts w:hint="eastAsia" w:ascii="仿宋_GB2312" w:hAnsi="Times New Roman" w:eastAsia="仿宋_GB2312" w:cs="Times New Roman"/>
          <w:color w:val="000000" w:themeColor="text1"/>
          <w:sz w:val="28"/>
          <w:szCs w:val="32"/>
        </w:rPr>
        <w:t>2.物业服务人应当对物业管理区域内的电梯、消防设施等易于发生安全风险的设施设备和部位加强日常巡查和定期养护；采取必要的安全保障措施，防止建筑物、构筑物或者其他设施及其搁置物、悬挂物发生脱落、坠落。排除安全风险隐患需要使用专项维修资金的，按照本市相关规定办理。</w:t>
      </w:r>
    </w:p>
    <w:p>
      <w:pPr>
        <w:overflowPunct w:val="0"/>
        <w:snapToGrid w:val="0"/>
        <w:spacing w:line="360" w:lineRule="auto"/>
        <w:ind w:firstLine="560" w:firstLineChars="200"/>
        <w:rPr>
          <w:rFonts w:ascii="仿宋_GB2312" w:hAnsi="Times New Roman" w:eastAsia="仿宋_GB2312" w:cs="Times New Roman"/>
          <w:color w:val="000000" w:themeColor="text1"/>
          <w:sz w:val="28"/>
          <w:szCs w:val="32"/>
        </w:rPr>
      </w:pPr>
      <w:r>
        <w:rPr>
          <w:rFonts w:hint="eastAsia" w:ascii="仿宋_GB2312" w:hAnsi="Times New Roman" w:eastAsia="仿宋_GB2312" w:cs="Times New Roman"/>
          <w:color w:val="000000" w:themeColor="text1"/>
          <w:sz w:val="28"/>
          <w:szCs w:val="32"/>
        </w:rPr>
        <w:t>3.建筑物专有部分存在安全隐患，危及公共利益或者他人合法权益的，业主不履行维修养护义务的，可以由物业服务人报经业主委员会、物业管理委员会同意，或者按照临时管理规约、管理规约的约定，代为维修养护或者采取应急防范措施，费用由业主承担。</w:t>
      </w:r>
    </w:p>
    <w:p>
      <w:pPr>
        <w:overflowPunct w:val="0"/>
        <w:snapToGrid w:val="0"/>
        <w:spacing w:beforeLines="50" w:line="360" w:lineRule="auto"/>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color w:val="000000" w:themeColor="text1"/>
          <w:sz w:val="28"/>
          <w:szCs w:val="28"/>
        </w:rPr>
        <w:t>风险提示</w:t>
      </w:r>
    </w:p>
    <w:p>
      <w:pPr>
        <w:overflowPunct w:val="0"/>
        <w:snapToGrid w:val="0"/>
        <w:spacing w:beforeLines="50" w:line="360" w:lineRule="auto"/>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color w:val="000000" w:themeColor="text1"/>
          <w:sz w:val="28"/>
          <w:szCs w:val="28"/>
        </w:rPr>
        <w:t>根据《北京市物业管理条例》：</w:t>
      </w:r>
    </w:p>
    <w:p>
      <w:pPr>
        <w:overflowPunct w:val="0"/>
        <w:snapToGrid w:val="0"/>
        <w:spacing w:line="360" w:lineRule="auto"/>
        <w:ind w:firstLine="560" w:firstLineChars="200"/>
        <w:rPr>
          <w:rFonts w:ascii="仿宋_GB2312" w:hAnsi="Times New Roman" w:eastAsia="仿宋_GB2312"/>
          <w:color w:val="000000" w:themeColor="text1"/>
          <w:sz w:val="28"/>
          <w:szCs w:val="28"/>
        </w:rPr>
      </w:pPr>
      <w:r>
        <w:rPr>
          <w:rFonts w:hint="eastAsia" w:ascii="仿宋_GB2312" w:hAnsi="Times New Roman" w:eastAsia="仿宋_GB2312"/>
          <w:color w:val="000000" w:themeColor="text1"/>
          <w:sz w:val="28"/>
          <w:szCs w:val="28"/>
        </w:rPr>
        <w:t>第九十八条　物业管理区域内有下列行为之一的，由有关主管部门按照下列规定予以查处：</w:t>
      </w:r>
    </w:p>
    <w:p>
      <w:pPr>
        <w:overflowPunct w:val="0"/>
        <w:snapToGrid w:val="0"/>
        <w:spacing w:line="360" w:lineRule="auto"/>
        <w:ind w:firstLine="560" w:firstLineChars="200"/>
        <w:rPr>
          <w:rFonts w:ascii="仿宋_GB2312" w:hAnsi="Times New Roman" w:eastAsia="仿宋_GB2312"/>
          <w:color w:val="000000" w:themeColor="text1"/>
          <w:sz w:val="28"/>
          <w:szCs w:val="28"/>
        </w:rPr>
      </w:pPr>
      <w:r>
        <w:rPr>
          <w:rFonts w:hint="eastAsia" w:ascii="仿宋_GB2312" w:hAnsi="Times New Roman" w:eastAsia="仿宋_GB2312"/>
          <w:color w:val="000000" w:themeColor="text1"/>
          <w:sz w:val="28"/>
          <w:szCs w:val="28"/>
        </w:rPr>
        <w:t>（一）违反本条例第七十八条第二款第（一）项规定的，由区住房和城乡建设或者房屋主管部门责令限期改正，处五万元以上十万元以下的罚款；</w:t>
      </w:r>
    </w:p>
    <w:p>
      <w:pPr>
        <w:overflowPunct w:val="0"/>
        <w:snapToGrid w:val="0"/>
        <w:spacing w:line="360" w:lineRule="auto"/>
        <w:ind w:firstLine="560" w:firstLineChars="200"/>
        <w:rPr>
          <w:rFonts w:ascii="仿宋_GB2312" w:hAnsi="Times New Roman" w:eastAsia="仿宋_GB2312"/>
          <w:color w:val="000000" w:themeColor="text1"/>
          <w:sz w:val="28"/>
          <w:szCs w:val="28"/>
        </w:rPr>
      </w:pPr>
      <w:r>
        <w:rPr>
          <w:rFonts w:hint="eastAsia" w:ascii="仿宋_GB2312" w:hAnsi="Times New Roman" w:eastAsia="仿宋_GB2312"/>
          <w:color w:val="000000" w:themeColor="text1"/>
          <w:sz w:val="28"/>
          <w:szCs w:val="28"/>
        </w:rPr>
        <w:t>（二）违反本条例第七十八条第二款第（二）项规定的，由区住房和城乡建设或者房屋主管部门责令限期改正，给予警告，对单位处五万元以上二十万元以下的罚款；对个人处一千元以上一万元以下的罚款；有违法所得的，责令退还违法所得；</w:t>
      </w:r>
    </w:p>
    <w:p>
      <w:pPr>
        <w:overflowPunct w:val="0"/>
        <w:snapToGrid w:val="0"/>
        <w:spacing w:line="360" w:lineRule="auto"/>
        <w:ind w:firstLine="560" w:firstLineChars="200"/>
        <w:rPr>
          <w:rFonts w:ascii="仿宋_GB2312" w:hAnsi="Times New Roman" w:eastAsia="仿宋_GB2312"/>
          <w:color w:val="000000" w:themeColor="text1"/>
          <w:sz w:val="28"/>
          <w:szCs w:val="28"/>
        </w:rPr>
      </w:pPr>
      <w:r>
        <w:rPr>
          <w:rFonts w:hint="eastAsia" w:ascii="仿宋_GB2312" w:hAnsi="Times New Roman" w:eastAsia="仿宋_GB2312"/>
          <w:color w:val="000000" w:themeColor="text1"/>
          <w:sz w:val="28"/>
          <w:szCs w:val="28"/>
        </w:rPr>
        <w:t>（三）违反本条例第七十八条第二款第（三）项规定的，由城市管理综合行政执法部门依照城乡规划法律法规给予责令拆除或者回填、罚款等处罚；</w:t>
      </w:r>
    </w:p>
    <w:p>
      <w:pPr>
        <w:overflowPunct w:val="0"/>
        <w:snapToGrid w:val="0"/>
        <w:spacing w:line="360" w:lineRule="auto"/>
        <w:ind w:firstLine="560" w:firstLineChars="200"/>
        <w:rPr>
          <w:rFonts w:ascii="仿宋_GB2312" w:hAnsi="Times New Roman" w:eastAsia="仿宋_GB2312"/>
          <w:color w:val="000000" w:themeColor="text1"/>
          <w:sz w:val="28"/>
          <w:szCs w:val="28"/>
        </w:rPr>
      </w:pPr>
      <w:r>
        <w:rPr>
          <w:rFonts w:hint="eastAsia" w:ascii="仿宋_GB2312" w:hAnsi="Times New Roman" w:eastAsia="仿宋_GB2312"/>
          <w:color w:val="000000" w:themeColor="text1"/>
          <w:sz w:val="28"/>
          <w:szCs w:val="28"/>
        </w:rPr>
        <w:t>（四）违反本条例第七十八条第二款第（四）项规定的，由公安机关依照治安管理处罚法律法规予以处罚；</w:t>
      </w:r>
    </w:p>
    <w:p>
      <w:pPr>
        <w:overflowPunct w:val="0"/>
        <w:snapToGrid w:val="0"/>
        <w:spacing w:line="360" w:lineRule="auto"/>
        <w:ind w:firstLine="560" w:firstLineChars="200"/>
        <w:rPr>
          <w:rFonts w:ascii="仿宋_GB2312" w:hAnsi="Times New Roman" w:eastAsia="仿宋_GB2312"/>
          <w:color w:val="000000" w:themeColor="text1"/>
          <w:sz w:val="28"/>
          <w:szCs w:val="28"/>
        </w:rPr>
      </w:pPr>
      <w:r>
        <w:rPr>
          <w:rFonts w:hint="eastAsia" w:ascii="仿宋_GB2312" w:hAnsi="Times New Roman" w:eastAsia="仿宋_GB2312"/>
          <w:color w:val="000000" w:themeColor="text1"/>
          <w:sz w:val="28"/>
          <w:szCs w:val="28"/>
        </w:rPr>
        <w:t>（五）违反本条例第七十八条第二款第（五）项规定的，由消防救援机构责令改正，拒不改正的，处五百元以上五千元以下的罚款；</w:t>
      </w:r>
    </w:p>
    <w:p>
      <w:pPr>
        <w:overflowPunct w:val="0"/>
        <w:snapToGrid w:val="0"/>
        <w:spacing w:line="360" w:lineRule="auto"/>
        <w:ind w:firstLine="560" w:firstLineChars="200"/>
        <w:rPr>
          <w:rFonts w:ascii="仿宋_GB2312" w:hAnsi="Times New Roman" w:eastAsia="仿宋_GB2312"/>
          <w:color w:val="000000" w:themeColor="text1"/>
          <w:sz w:val="28"/>
          <w:szCs w:val="28"/>
        </w:rPr>
      </w:pPr>
      <w:r>
        <w:rPr>
          <w:rFonts w:hint="eastAsia" w:ascii="仿宋_GB2312" w:hAnsi="Times New Roman" w:eastAsia="仿宋_GB2312"/>
          <w:color w:val="000000" w:themeColor="text1"/>
          <w:sz w:val="28"/>
          <w:szCs w:val="28"/>
        </w:rPr>
        <w:t>（六）违反本条例第七十八条第二款第（六）项规定的，由水主管部门责令限期改正，处一万元以上三万元以下的罚款；</w:t>
      </w:r>
    </w:p>
    <w:p>
      <w:pPr>
        <w:overflowPunct w:val="0"/>
        <w:snapToGrid w:val="0"/>
        <w:spacing w:line="360" w:lineRule="auto"/>
        <w:ind w:firstLine="560" w:firstLineChars="200"/>
        <w:rPr>
          <w:rFonts w:ascii="仿宋_GB2312" w:hAnsi="Times New Roman" w:eastAsia="仿宋_GB2312"/>
          <w:color w:val="000000" w:themeColor="text1"/>
          <w:sz w:val="28"/>
          <w:szCs w:val="28"/>
        </w:rPr>
      </w:pPr>
      <w:r>
        <w:rPr>
          <w:rFonts w:hint="eastAsia" w:ascii="仿宋_GB2312" w:hAnsi="Times New Roman" w:eastAsia="仿宋_GB2312"/>
          <w:color w:val="000000" w:themeColor="text1"/>
          <w:sz w:val="28"/>
          <w:szCs w:val="28"/>
        </w:rPr>
        <w:t>（七）违反本条例第七十八条第二款第（七）项规定的，由公安机关给予警告，处五百元以上五千元以下的罚款；</w:t>
      </w:r>
    </w:p>
    <w:p>
      <w:pPr>
        <w:overflowPunct w:val="0"/>
        <w:snapToGrid w:val="0"/>
        <w:spacing w:line="360" w:lineRule="auto"/>
        <w:ind w:firstLine="560" w:firstLineChars="200"/>
        <w:rPr>
          <w:rFonts w:ascii="仿宋_GB2312" w:hAnsi="Times New Roman" w:eastAsia="仿宋_GB2312"/>
          <w:color w:val="000000" w:themeColor="text1"/>
          <w:sz w:val="28"/>
          <w:szCs w:val="28"/>
        </w:rPr>
      </w:pPr>
      <w:r>
        <w:rPr>
          <w:rFonts w:hint="eastAsia" w:ascii="仿宋_GB2312" w:hAnsi="Times New Roman" w:eastAsia="仿宋_GB2312"/>
          <w:color w:val="000000" w:themeColor="text1"/>
          <w:sz w:val="28"/>
          <w:szCs w:val="28"/>
        </w:rPr>
        <w:t>（八）违反本条例第七十八条第二款第（八）项规定的，由公安机关责令改正，拒不改正的，处二百元以上五百元以下的罚款；</w:t>
      </w:r>
    </w:p>
    <w:p>
      <w:pPr>
        <w:overflowPunct w:val="0"/>
        <w:snapToGrid w:val="0"/>
        <w:spacing w:line="360" w:lineRule="auto"/>
        <w:ind w:firstLine="560" w:firstLineChars="200"/>
        <w:rPr>
          <w:rFonts w:ascii="仿宋_GB2312" w:hAnsi="Times New Roman" w:eastAsia="仿宋_GB2312"/>
          <w:color w:val="000000" w:themeColor="text1"/>
          <w:sz w:val="28"/>
          <w:szCs w:val="28"/>
        </w:rPr>
      </w:pPr>
      <w:r>
        <w:rPr>
          <w:rFonts w:hint="eastAsia" w:ascii="仿宋_GB2312" w:hAnsi="Times New Roman" w:eastAsia="仿宋_GB2312"/>
          <w:color w:val="000000" w:themeColor="text1"/>
          <w:sz w:val="28"/>
          <w:szCs w:val="28"/>
        </w:rPr>
        <w:t>（九）违反本条例第七十八条第二款第（九）项规定的，由城市管理综合行政执法部门责令改正，拒不改正的，处五百元以上五千元以下的罚款；</w:t>
      </w:r>
    </w:p>
    <w:p>
      <w:pPr>
        <w:overflowPunct w:val="0"/>
        <w:snapToGrid w:val="0"/>
        <w:spacing w:line="360" w:lineRule="auto"/>
        <w:ind w:firstLine="560" w:firstLineChars="200"/>
        <w:rPr>
          <w:rFonts w:ascii="仿宋_GB2312" w:hAnsi="Times New Roman" w:eastAsia="仿宋_GB2312"/>
          <w:color w:val="000000" w:themeColor="text1"/>
          <w:sz w:val="28"/>
          <w:szCs w:val="28"/>
        </w:rPr>
      </w:pPr>
      <w:r>
        <w:rPr>
          <w:rFonts w:hint="eastAsia" w:ascii="仿宋_GB2312" w:hAnsi="Times New Roman" w:eastAsia="仿宋_GB2312"/>
          <w:color w:val="000000" w:themeColor="text1"/>
          <w:sz w:val="28"/>
          <w:szCs w:val="28"/>
        </w:rPr>
        <w:t>（十）违反本条例第七十八条第二款第（十）项规定，占用、堵塞、封闭消防通道、疏散通道，或者损坏消防设施的，由消防救援机构责令改正，对单位处五千元以上五万元以下的罚款，对个人处五百元的罚款；占用、堵塞、封闭其他共用部位，或者损坏其他共用设施设备的，由城市管理综合行政执法部门责令改正，给予警告，对单位处二千元以上二万元以下的罚款，对个人处二百元以上五百元以下的罚款；</w:t>
      </w:r>
    </w:p>
    <w:p>
      <w:pPr>
        <w:overflowPunct w:val="0"/>
        <w:snapToGrid w:val="0"/>
        <w:spacing w:line="360" w:lineRule="auto"/>
        <w:ind w:firstLine="560" w:firstLineChars="200"/>
        <w:rPr>
          <w:rFonts w:ascii="仿宋_GB2312" w:hAnsi="Times New Roman" w:eastAsia="仿宋_GB2312"/>
          <w:color w:val="000000" w:themeColor="text1"/>
          <w:sz w:val="28"/>
          <w:szCs w:val="28"/>
        </w:rPr>
      </w:pPr>
      <w:r>
        <w:rPr>
          <w:rFonts w:hint="eastAsia" w:ascii="仿宋_GB2312" w:hAnsi="Times New Roman" w:eastAsia="仿宋_GB2312"/>
          <w:color w:val="000000" w:themeColor="text1"/>
          <w:sz w:val="28"/>
          <w:szCs w:val="28"/>
        </w:rPr>
        <w:t>（十一）违反本条例第七十八条第二款第（十一）项规定的，由规划自然资源主管部门责令当事人限期改正、按照实际使用用途类型应当缴纳的土地使用权地价款数额的二倍处以罚款；情节严重的，依法无偿收回土地使用权；</w:t>
      </w:r>
    </w:p>
    <w:p>
      <w:pPr>
        <w:overflowPunct w:val="0"/>
        <w:snapToGrid w:val="0"/>
        <w:spacing w:line="360" w:lineRule="auto"/>
        <w:ind w:firstLine="560" w:firstLineChars="200"/>
        <w:rPr>
          <w:rFonts w:ascii="仿宋_GB2312" w:hAnsi="Times New Roman" w:eastAsia="仿宋_GB2312"/>
          <w:color w:val="000000" w:themeColor="text1"/>
          <w:sz w:val="28"/>
          <w:szCs w:val="28"/>
        </w:rPr>
      </w:pPr>
      <w:r>
        <w:rPr>
          <w:rFonts w:hint="eastAsia" w:ascii="仿宋_GB2312" w:hAnsi="Times New Roman" w:eastAsia="仿宋_GB2312"/>
          <w:color w:val="000000" w:themeColor="text1"/>
          <w:sz w:val="28"/>
          <w:szCs w:val="28"/>
        </w:rPr>
        <w:t>（十二）违反本条例第七十八条第二款第（十二）项、第（十三）项规定的，由公安机关依照治安管理处罚法律法规予以处罚。</w:t>
      </w:r>
    </w:p>
    <w:p>
      <w:pPr>
        <w:overflowPunct w:val="0"/>
        <w:snapToGrid w:val="0"/>
        <w:spacing w:line="360" w:lineRule="auto"/>
        <w:ind w:firstLine="560" w:firstLineChars="200"/>
        <w:rPr>
          <w:rFonts w:ascii="仿宋_GB2312" w:hAnsi="Times New Roman" w:eastAsia="仿宋_GB2312"/>
          <w:color w:val="000000" w:themeColor="text1"/>
          <w:sz w:val="28"/>
          <w:szCs w:val="28"/>
        </w:rPr>
      </w:pPr>
      <w:r>
        <w:rPr>
          <w:rFonts w:hint="eastAsia" w:ascii="仿宋_GB2312" w:hAnsi="Times New Roman" w:eastAsia="仿宋_GB2312"/>
          <w:color w:val="000000" w:themeColor="text1"/>
          <w:sz w:val="28"/>
          <w:szCs w:val="28"/>
        </w:rPr>
        <w:t>第一百条　物业服务人违反本条例第八十八条第一款规定的，由区住房和城乡建设或者房屋主管部门责令限期改正，处二万元以上五万元以下的罚款。</w:t>
      </w:r>
    </w:p>
    <w:p>
      <w:pPr>
        <w:widowControl/>
        <w:snapToGrid w:val="0"/>
        <w:jc w:val="left"/>
        <w:rPr>
          <w:rFonts w:ascii="仿宋_GB2312" w:hAnsi="Arial" w:eastAsia="仿宋_GB2312"/>
          <w:color w:val="000000" w:themeColor="text1"/>
          <w:sz w:val="32"/>
        </w:rPr>
      </w:pPr>
      <w:r>
        <w:rPr>
          <w:rFonts w:hint="eastAsia" w:ascii="仿宋_GB2312" w:eastAsia="仿宋_GB2312"/>
          <w:color w:val="000000" w:themeColor="text1"/>
        </w:rPr>
        <w:br w:type="page"/>
      </w:r>
    </w:p>
    <w:p>
      <w:pPr>
        <w:pStyle w:val="4"/>
        <w:snapToGrid w:val="0"/>
        <w:spacing w:before="312" w:after="312"/>
        <w:rPr>
          <w:color w:val="000000" w:themeColor="text1"/>
        </w:rPr>
      </w:pPr>
      <w:bookmarkStart w:id="35" w:name="_Toc150435224"/>
      <w:r>
        <w:rPr>
          <w:rFonts w:hint="eastAsia"/>
          <w:color w:val="000000" w:themeColor="text1"/>
        </w:rPr>
        <w:t>（十三）其他管理合规指南</w:t>
      </w:r>
      <w:bookmarkEnd w:id="35"/>
    </w:p>
    <w:p>
      <w:pPr>
        <w:pStyle w:val="5"/>
        <w:snapToGrid w:val="0"/>
        <w:rPr>
          <w:color w:val="000000" w:themeColor="text1"/>
        </w:rPr>
      </w:pPr>
      <w:bookmarkStart w:id="36" w:name="_Toc150435225"/>
      <w:r>
        <w:rPr>
          <w:rFonts w:hint="eastAsia"/>
          <w:color w:val="000000" w:themeColor="text1"/>
        </w:rPr>
        <w:t>1.有限空间</w:t>
      </w:r>
      <w:bookmarkEnd w:id="36"/>
      <w:r>
        <w:rPr>
          <w:rFonts w:hint="eastAsia"/>
          <w:color w:val="000000" w:themeColor="text1"/>
        </w:rPr>
        <w:tab/>
      </w:r>
    </w:p>
    <w:p>
      <w:pPr>
        <w:snapToGrid w:val="0"/>
        <w:spacing w:beforeLines="50" w:line="360" w:lineRule="auto"/>
        <w:ind w:firstLine="562" w:firstLineChars="200"/>
        <w:rPr>
          <w:rFonts w:ascii="仿宋_GB2312" w:hAnsi="仿宋" w:eastAsia="仿宋_GB2312" w:cs="Times New Roman"/>
          <w:b/>
          <w:color w:val="000000" w:themeColor="text1"/>
          <w:sz w:val="28"/>
          <w:szCs w:val="32"/>
        </w:rPr>
      </w:pPr>
      <w:r>
        <w:rPr>
          <w:rFonts w:hint="eastAsia" w:ascii="仿宋_GB2312" w:hAnsi="仿宋" w:eastAsia="仿宋_GB2312" w:cs="Times New Roman"/>
          <w:b/>
          <w:color w:val="000000" w:themeColor="text1"/>
          <w:sz w:val="28"/>
          <w:szCs w:val="32"/>
        </w:rPr>
        <w:t>根据《</w:t>
      </w:r>
      <w:r>
        <w:fldChar w:fldCharType="begin"/>
      </w:r>
      <w:r>
        <w:instrText xml:space="preserve"> HYPERLINK "http://yjglj.beijing.gov.cn/attach/0/%E6%9C%89%E9%99%90%E7%A9%BA%E9%97%B4%E4%BD%9C%E4%B8%9A%E5%AE%89%E5%85%A8%E6%8A%80%E6%9C%AF%E8%A7%84%E8%8C%83DB11%20T%20852%E2%80%942019.pdf" \t "_blank" </w:instrText>
      </w:r>
      <w:r>
        <w:fldChar w:fldCharType="separate"/>
      </w:r>
      <w:r>
        <w:rPr>
          <w:rFonts w:hint="eastAsia" w:ascii="仿宋_GB2312" w:hAnsi="仿宋" w:eastAsia="仿宋_GB2312" w:cs="Times New Roman"/>
          <w:b/>
          <w:color w:val="000000" w:themeColor="text1"/>
          <w:sz w:val="28"/>
          <w:szCs w:val="32"/>
        </w:rPr>
        <w:t>有限空间作业安全技术规范DB11/T852—2019</w:t>
      </w:r>
      <w:r>
        <w:rPr>
          <w:rFonts w:hint="eastAsia" w:ascii="仿宋_GB2312" w:hAnsi="仿宋" w:eastAsia="仿宋_GB2312" w:cs="Times New Roman"/>
          <w:b/>
          <w:color w:val="000000" w:themeColor="text1"/>
          <w:sz w:val="28"/>
          <w:szCs w:val="32"/>
        </w:rPr>
        <w:fldChar w:fldCharType="end"/>
      </w:r>
      <w:r>
        <w:rPr>
          <w:rFonts w:hint="eastAsia" w:ascii="仿宋_GB2312" w:hAnsi="仿宋" w:eastAsia="仿宋_GB2312" w:cs="Times New Roman"/>
          <w:b/>
          <w:color w:val="000000" w:themeColor="text1"/>
          <w:sz w:val="28"/>
          <w:szCs w:val="32"/>
        </w:rPr>
        <w:t>》：</w:t>
      </w:r>
    </w:p>
    <w:p>
      <w:pPr>
        <w:pStyle w:val="47"/>
        <w:snapToGrid w:val="0"/>
        <w:spacing w:after="0" w:line="360" w:lineRule="auto"/>
        <w:ind w:left="0" w:leftChars="0" w:firstLine="560"/>
        <w:rPr>
          <w:rFonts w:ascii="仿宋_GB2312" w:hAnsi="Times New Roman" w:eastAsia="仿宋_GB2312" w:cstheme="minorBidi"/>
          <w:color w:val="000000" w:themeColor="text1"/>
          <w:sz w:val="28"/>
          <w:szCs w:val="28"/>
        </w:rPr>
      </w:pPr>
      <w:r>
        <w:rPr>
          <w:rFonts w:hint="eastAsia" w:ascii="仿宋_GB2312" w:hAnsi="Times New Roman" w:eastAsia="仿宋_GB2312" w:cstheme="minorBidi"/>
          <w:color w:val="000000" w:themeColor="text1"/>
          <w:sz w:val="28"/>
          <w:szCs w:val="28"/>
        </w:rPr>
        <w:t>（一）制定作业方案并明确人员职责</w:t>
      </w:r>
    </w:p>
    <w:p>
      <w:pPr>
        <w:pStyle w:val="47"/>
        <w:snapToGrid w:val="0"/>
        <w:spacing w:after="0" w:line="360" w:lineRule="auto"/>
        <w:ind w:left="0" w:leftChars="0" w:firstLine="560"/>
        <w:rPr>
          <w:rFonts w:ascii="仿宋_GB2312" w:hAnsi="Times New Roman" w:eastAsia="仿宋_GB2312" w:cstheme="minorBidi"/>
          <w:color w:val="000000" w:themeColor="text1"/>
          <w:sz w:val="28"/>
          <w:szCs w:val="28"/>
        </w:rPr>
      </w:pPr>
      <w:r>
        <w:rPr>
          <w:rFonts w:hint="eastAsia" w:ascii="仿宋_GB2312" w:hAnsi="Times New Roman" w:eastAsia="仿宋_GB2312" w:cstheme="minorBidi"/>
          <w:color w:val="000000" w:themeColor="text1"/>
          <w:sz w:val="28"/>
          <w:szCs w:val="28"/>
        </w:rPr>
        <w:t>实施有限空间作业前，作业单位应对作业环境及作业过程进行风险评估，分析可能存在的危险有害因素，提出消除、控制危害的措施，制定作业方案，并经本单位安全生产管理人员审核，负责人批准。作业单位应按照有限空间作业方案，明确作业负责人、监护者、作业者及其安全职责。</w:t>
      </w:r>
    </w:p>
    <w:p>
      <w:pPr>
        <w:pStyle w:val="47"/>
        <w:snapToGrid w:val="0"/>
        <w:spacing w:after="0" w:line="360" w:lineRule="auto"/>
        <w:ind w:left="0" w:leftChars="0" w:firstLine="560"/>
        <w:rPr>
          <w:rFonts w:ascii="仿宋_GB2312" w:hAnsi="Times New Roman" w:eastAsia="仿宋_GB2312" w:cstheme="minorBidi"/>
          <w:color w:val="000000" w:themeColor="text1"/>
          <w:sz w:val="28"/>
          <w:szCs w:val="28"/>
        </w:rPr>
      </w:pPr>
      <w:r>
        <w:rPr>
          <w:rFonts w:hint="eastAsia" w:ascii="仿宋_GB2312" w:hAnsi="Times New Roman" w:eastAsia="仿宋_GB2312" w:cstheme="minorBidi"/>
          <w:color w:val="000000" w:themeColor="text1"/>
          <w:sz w:val="28"/>
          <w:szCs w:val="28"/>
        </w:rPr>
        <w:t>（二）作业审批</w:t>
      </w:r>
    </w:p>
    <w:p>
      <w:pPr>
        <w:pStyle w:val="47"/>
        <w:snapToGrid w:val="0"/>
        <w:spacing w:after="0" w:line="360" w:lineRule="auto"/>
        <w:ind w:left="0" w:leftChars="0" w:firstLine="560"/>
        <w:rPr>
          <w:rFonts w:ascii="仿宋_GB2312" w:hAnsi="Times New Roman" w:eastAsia="仿宋_GB2312" w:cstheme="minorBidi"/>
          <w:color w:val="000000" w:themeColor="text1"/>
          <w:sz w:val="28"/>
          <w:szCs w:val="28"/>
        </w:rPr>
      </w:pPr>
      <w:r>
        <w:rPr>
          <w:rFonts w:hint="eastAsia" w:ascii="仿宋_GB2312" w:hAnsi="Times New Roman" w:eastAsia="仿宋_GB2312" w:cstheme="minorBidi"/>
          <w:color w:val="000000" w:themeColor="text1"/>
          <w:sz w:val="28"/>
          <w:szCs w:val="28"/>
        </w:rPr>
        <w:t>有限空间作业前，应进行作业审批。有限空间作业审批表应经单位审批责任人签字确认，并存档保存至少1年。有限空间作业审批表应至少包括有限空间名称、作业单位名称、作业内容、作业时间、可能存在的危险有害因素、作业相关人员、主要安全防护措施、作业负责人意见及签字项、审批责任人意见及签字项等内容。</w:t>
      </w:r>
    </w:p>
    <w:p>
      <w:pPr>
        <w:pStyle w:val="47"/>
        <w:snapToGrid w:val="0"/>
        <w:spacing w:after="0" w:line="360" w:lineRule="auto"/>
        <w:ind w:left="0" w:leftChars="0" w:firstLine="560"/>
        <w:rPr>
          <w:rFonts w:ascii="仿宋_GB2312" w:hAnsi="Times New Roman" w:eastAsia="仿宋_GB2312" w:cstheme="minorBidi"/>
          <w:color w:val="000000" w:themeColor="text1"/>
          <w:sz w:val="28"/>
          <w:szCs w:val="28"/>
        </w:rPr>
      </w:pPr>
      <w:r>
        <w:rPr>
          <w:rFonts w:hint="eastAsia" w:ascii="仿宋_GB2312" w:hAnsi="Times New Roman" w:eastAsia="仿宋_GB2312" w:cstheme="minorBidi"/>
          <w:color w:val="000000" w:themeColor="text1"/>
          <w:sz w:val="28"/>
          <w:szCs w:val="28"/>
        </w:rPr>
        <w:t>（三）安全交底</w:t>
      </w:r>
    </w:p>
    <w:p>
      <w:pPr>
        <w:pStyle w:val="47"/>
        <w:snapToGrid w:val="0"/>
        <w:spacing w:after="0" w:line="360" w:lineRule="auto"/>
        <w:ind w:left="0" w:leftChars="0" w:firstLine="560"/>
        <w:rPr>
          <w:rFonts w:ascii="仿宋_GB2312" w:hAnsi="Times New Roman" w:eastAsia="仿宋_GB2312" w:cstheme="minorBidi"/>
          <w:color w:val="000000" w:themeColor="text1"/>
          <w:sz w:val="28"/>
          <w:szCs w:val="28"/>
        </w:rPr>
      </w:pPr>
      <w:r>
        <w:rPr>
          <w:rFonts w:hint="eastAsia" w:ascii="仿宋_GB2312" w:hAnsi="Times New Roman" w:eastAsia="仿宋_GB2312" w:cstheme="minorBidi"/>
          <w:color w:val="000000" w:themeColor="text1"/>
          <w:sz w:val="28"/>
          <w:szCs w:val="28"/>
        </w:rPr>
        <w:t>有限空间作业前，作业负责人应对实施作业的全体人员进行安全交底，告知作业内容、作业方案、作业现场可能存在的危险有害因素、作业安全要求及应急处置措施等，并履行签字确认手续。</w:t>
      </w:r>
    </w:p>
    <w:p>
      <w:pPr>
        <w:pStyle w:val="47"/>
        <w:snapToGrid w:val="0"/>
        <w:spacing w:after="0" w:line="360" w:lineRule="auto"/>
        <w:ind w:left="0" w:leftChars="0" w:firstLine="560"/>
        <w:rPr>
          <w:rFonts w:ascii="仿宋_GB2312" w:hAnsi="Times New Roman" w:eastAsia="仿宋_GB2312" w:cstheme="minorBidi"/>
          <w:color w:val="000000" w:themeColor="text1"/>
          <w:sz w:val="28"/>
          <w:szCs w:val="28"/>
        </w:rPr>
      </w:pPr>
      <w:r>
        <w:rPr>
          <w:rFonts w:hint="eastAsia" w:ascii="仿宋_GB2312" w:hAnsi="Times New Roman" w:eastAsia="仿宋_GB2312" w:cstheme="minorBidi"/>
          <w:color w:val="000000" w:themeColor="text1"/>
          <w:sz w:val="28"/>
          <w:szCs w:val="28"/>
        </w:rPr>
        <w:t>（四）设备设施配置与检查</w:t>
      </w:r>
    </w:p>
    <w:p>
      <w:pPr>
        <w:pStyle w:val="47"/>
        <w:snapToGrid w:val="0"/>
        <w:spacing w:after="0" w:line="360" w:lineRule="auto"/>
        <w:ind w:left="0" w:leftChars="0" w:firstLine="560"/>
        <w:rPr>
          <w:rFonts w:ascii="仿宋_GB2312" w:hAnsi="Times New Roman" w:eastAsia="仿宋_GB2312" w:cstheme="minorBidi"/>
          <w:color w:val="000000" w:themeColor="text1"/>
          <w:sz w:val="28"/>
          <w:szCs w:val="28"/>
        </w:rPr>
      </w:pPr>
      <w:r>
        <w:rPr>
          <w:rFonts w:hint="eastAsia" w:ascii="仿宋_GB2312" w:hAnsi="Times New Roman" w:eastAsia="仿宋_GB2312" w:cstheme="minorBidi"/>
          <w:color w:val="000000" w:themeColor="text1"/>
          <w:sz w:val="28"/>
          <w:szCs w:val="28"/>
        </w:rPr>
        <w:t>作业前，应对安全防护设备、个体防护装备、应急救援设备设施、作业设备和工具的齐备性和安全性进行检查，发现问题应立即补充、修复或更换。</w:t>
      </w:r>
    </w:p>
    <w:p>
      <w:pPr>
        <w:pStyle w:val="47"/>
        <w:snapToGrid w:val="0"/>
        <w:spacing w:after="0" w:line="360" w:lineRule="auto"/>
        <w:ind w:left="0" w:leftChars="0" w:firstLine="560"/>
        <w:rPr>
          <w:rFonts w:ascii="仿宋_GB2312" w:hAnsi="Times New Roman" w:eastAsia="仿宋_GB2312" w:cstheme="minorBidi"/>
          <w:color w:val="000000" w:themeColor="text1"/>
          <w:sz w:val="28"/>
          <w:szCs w:val="28"/>
        </w:rPr>
      </w:pPr>
      <w:r>
        <w:rPr>
          <w:rFonts w:hint="eastAsia" w:ascii="仿宋_GB2312" w:hAnsi="Times New Roman" w:eastAsia="仿宋_GB2312" w:cstheme="minorBidi"/>
          <w:color w:val="000000" w:themeColor="text1"/>
          <w:sz w:val="28"/>
          <w:szCs w:val="28"/>
        </w:rPr>
        <w:t>（五）封闭作业区域及安全警示</w:t>
      </w:r>
    </w:p>
    <w:p>
      <w:pPr>
        <w:pStyle w:val="47"/>
        <w:snapToGrid w:val="0"/>
        <w:spacing w:after="0" w:line="360" w:lineRule="auto"/>
        <w:ind w:left="0" w:leftChars="0" w:firstLine="560"/>
        <w:rPr>
          <w:rFonts w:ascii="仿宋_GB2312" w:hAnsi="Times New Roman" w:eastAsia="仿宋_GB2312" w:cstheme="minorBidi"/>
          <w:color w:val="000000" w:themeColor="text1"/>
          <w:sz w:val="28"/>
          <w:szCs w:val="28"/>
        </w:rPr>
      </w:pPr>
      <w:r>
        <w:rPr>
          <w:rFonts w:hint="eastAsia" w:ascii="仿宋_GB2312" w:hAnsi="Times New Roman" w:eastAsia="仿宋_GB2312" w:cstheme="minorBidi"/>
          <w:color w:val="000000" w:themeColor="text1"/>
          <w:sz w:val="28"/>
          <w:szCs w:val="28"/>
        </w:rPr>
        <w:t>作业前，应封闭作业区域，并在出入口周边显著位置设置有限空间作业安全告知牌。夜间实施作业，应在作业区域周边显著位置设置警示灯，地面作业人员应穿戴高可视警示服，高可视警示服应至少满足GB20653规定的1级要求，使用的反光材料应符合GB20653规定的3级要求。占用道路进行有限空间作业，应设置符合DB11/854规定的交通安全设施作业区域周边显著位置应设置作业单位信息公示牌。信息公示牌应至少包括作业单位名称及注册地址、作业审批责任人姓名及联系方式、作业负责人姓名及联系方式和作业内容等。</w:t>
      </w:r>
    </w:p>
    <w:p>
      <w:pPr>
        <w:pStyle w:val="47"/>
        <w:snapToGrid w:val="0"/>
        <w:spacing w:after="0" w:line="360" w:lineRule="auto"/>
        <w:ind w:left="0" w:leftChars="0" w:firstLine="560"/>
        <w:rPr>
          <w:rFonts w:ascii="仿宋_GB2312" w:hAnsi="Times New Roman" w:eastAsia="仿宋_GB2312" w:cstheme="minorBidi"/>
          <w:color w:val="000000" w:themeColor="text1"/>
          <w:sz w:val="28"/>
          <w:szCs w:val="28"/>
        </w:rPr>
      </w:pPr>
      <w:r>
        <w:rPr>
          <w:rFonts w:hint="eastAsia" w:ascii="仿宋_GB2312" w:hAnsi="Times New Roman" w:eastAsia="仿宋_GB2312" w:cstheme="minorBidi"/>
          <w:color w:val="000000" w:themeColor="text1"/>
          <w:sz w:val="28"/>
          <w:szCs w:val="28"/>
        </w:rPr>
        <w:t>其他具体作业要求和参考示例，参见《</w:t>
      </w:r>
      <w:r>
        <w:fldChar w:fldCharType="begin"/>
      </w:r>
      <w:r>
        <w:instrText xml:space="preserve"> HYPERLINK "http://yjglj.beijing.gov.cn/attach/0/%E6%9C%89%E9%99%90%E7%A9%BA%E9%97%B4%E4%BD%9C%E4%B8%9A%E5%AE%89%E5%85%A8%E6%8A%80%E6%9C%AF%E8%A7%84%E8%8C%83DB11%20T%20852%E2%80%942019.pdf" \t "_blank" </w:instrText>
      </w:r>
      <w:r>
        <w:fldChar w:fldCharType="separate"/>
      </w:r>
      <w:r>
        <w:rPr>
          <w:rFonts w:hint="eastAsia" w:ascii="仿宋_GB2312" w:hAnsi="Times New Roman" w:eastAsia="仿宋_GB2312" w:cstheme="minorBidi"/>
          <w:color w:val="000000" w:themeColor="text1"/>
          <w:sz w:val="28"/>
          <w:szCs w:val="28"/>
        </w:rPr>
        <w:t>有限空间作业安全技术规范DB11/T852—2019</w:t>
      </w:r>
      <w:r>
        <w:rPr>
          <w:rFonts w:hint="eastAsia" w:ascii="仿宋_GB2312" w:hAnsi="Times New Roman" w:eastAsia="仿宋_GB2312" w:cstheme="minorBidi"/>
          <w:color w:val="000000" w:themeColor="text1"/>
          <w:sz w:val="28"/>
          <w:szCs w:val="28"/>
        </w:rPr>
        <w:fldChar w:fldCharType="end"/>
      </w:r>
      <w:r>
        <w:rPr>
          <w:rFonts w:hint="eastAsia" w:ascii="仿宋_GB2312" w:hAnsi="Times New Roman" w:eastAsia="仿宋_GB2312" w:cstheme="minorBidi"/>
          <w:color w:val="000000" w:themeColor="text1"/>
          <w:sz w:val="28"/>
          <w:szCs w:val="28"/>
        </w:rPr>
        <w:t>》。</w:t>
      </w:r>
    </w:p>
    <w:p>
      <w:pPr>
        <w:pStyle w:val="5"/>
        <w:snapToGrid w:val="0"/>
        <w:rPr>
          <w:color w:val="000000" w:themeColor="text1"/>
        </w:rPr>
      </w:pPr>
      <w:bookmarkStart w:id="37" w:name="_Toc150435226"/>
      <w:r>
        <w:rPr>
          <w:rFonts w:hint="eastAsia"/>
          <w:color w:val="000000" w:themeColor="text1"/>
        </w:rPr>
        <w:t>2.高空坠物</w:t>
      </w:r>
      <w:bookmarkEnd w:id="37"/>
    </w:p>
    <w:p>
      <w:pPr>
        <w:snapToGrid w:val="0"/>
        <w:spacing w:beforeLines="50" w:line="360" w:lineRule="auto"/>
        <w:ind w:firstLine="562" w:firstLineChars="200"/>
        <w:rPr>
          <w:rFonts w:ascii="仿宋_GB2312" w:hAnsi="仿宋" w:eastAsia="仿宋_GB2312" w:cs="Times New Roman"/>
          <w:b/>
          <w:color w:val="000000" w:themeColor="text1"/>
          <w:sz w:val="28"/>
          <w:szCs w:val="32"/>
        </w:rPr>
      </w:pPr>
      <w:r>
        <w:rPr>
          <w:rFonts w:hint="eastAsia" w:ascii="仿宋_GB2312" w:hAnsi="仿宋" w:eastAsia="仿宋_GB2312" w:cs="Times New Roman"/>
          <w:b/>
          <w:color w:val="000000" w:themeColor="text1"/>
          <w:sz w:val="28"/>
          <w:szCs w:val="32"/>
        </w:rPr>
        <w:t>根据《关于进一步加强物业管理区域高空坠物安全防范工作的通知》（京建发〔2019〕317号）：</w:t>
      </w:r>
    </w:p>
    <w:p>
      <w:pPr>
        <w:pStyle w:val="47"/>
        <w:snapToGrid w:val="0"/>
        <w:spacing w:after="0" w:line="360" w:lineRule="auto"/>
        <w:ind w:left="0" w:leftChars="0" w:firstLine="560"/>
        <w:rPr>
          <w:rFonts w:ascii="仿宋_GB2312" w:hAnsi="Times New Roman" w:eastAsia="仿宋_GB2312" w:cstheme="minorBidi"/>
          <w:color w:val="000000" w:themeColor="text1"/>
          <w:sz w:val="28"/>
          <w:szCs w:val="28"/>
        </w:rPr>
      </w:pPr>
      <w:r>
        <w:rPr>
          <w:rFonts w:hint="eastAsia" w:ascii="仿宋_GB2312" w:hAnsi="Times New Roman" w:eastAsia="仿宋_GB2312" w:cstheme="minorBidi"/>
          <w:color w:val="000000" w:themeColor="text1"/>
          <w:sz w:val="28"/>
          <w:szCs w:val="28"/>
        </w:rPr>
        <w:t>各物业企业要增强责任意识和安全意识，按照“三查、两告、一宣传”的要求开展高空坠物隐患排查整改和宣传指引工作。</w:t>
      </w:r>
    </w:p>
    <w:p>
      <w:pPr>
        <w:pStyle w:val="47"/>
        <w:snapToGrid w:val="0"/>
        <w:spacing w:after="0" w:line="360" w:lineRule="auto"/>
        <w:ind w:left="0" w:leftChars="0" w:firstLine="560"/>
        <w:rPr>
          <w:rFonts w:ascii="仿宋_GB2312" w:hAnsi="Times New Roman" w:eastAsia="仿宋_GB2312" w:cstheme="minorBidi"/>
          <w:color w:val="000000" w:themeColor="text1"/>
          <w:sz w:val="28"/>
          <w:szCs w:val="28"/>
        </w:rPr>
      </w:pPr>
      <w:r>
        <w:rPr>
          <w:rFonts w:hint="eastAsia" w:ascii="仿宋_GB2312" w:hAnsi="Times New Roman" w:eastAsia="仿宋_GB2312" w:cstheme="minorBidi"/>
          <w:color w:val="000000" w:themeColor="text1"/>
          <w:sz w:val="28"/>
          <w:szCs w:val="28"/>
        </w:rPr>
        <w:t>（一）全面检查整改建筑外墙装饰和玻璃幕墙破损、外立面墙砖空鼓、户外广告牌（牌匾）锈蚀松动、建筑物悬挂物和搁置物松动等；排查整改业主凉台杂物堆积、空调护栏或支架松动、空调室外机堆放杂物等；排查整改企业内部高空作业制度缺失、监控设备运行不正常和高空坠物安全防范措施不到位等。</w:t>
      </w:r>
    </w:p>
    <w:p>
      <w:pPr>
        <w:pStyle w:val="47"/>
        <w:snapToGrid w:val="0"/>
        <w:spacing w:after="0" w:line="360" w:lineRule="auto"/>
        <w:ind w:left="0" w:leftChars="0" w:firstLine="560"/>
        <w:rPr>
          <w:rFonts w:ascii="仿宋_GB2312" w:hAnsi="Times New Roman" w:eastAsia="仿宋_GB2312" w:cstheme="minorBidi"/>
          <w:color w:val="000000" w:themeColor="text1"/>
          <w:sz w:val="28"/>
          <w:szCs w:val="28"/>
        </w:rPr>
      </w:pPr>
      <w:r>
        <w:rPr>
          <w:rFonts w:hint="eastAsia" w:ascii="仿宋_GB2312" w:hAnsi="Times New Roman" w:eastAsia="仿宋_GB2312" w:cstheme="minorBidi"/>
          <w:color w:val="000000" w:themeColor="text1"/>
          <w:sz w:val="28"/>
          <w:szCs w:val="28"/>
        </w:rPr>
        <w:t>（二）对检查发现存在安全隐患的问题要制定措施及时整改，暂时无法整改的要设立警示标识，设置围蔽设施，并加大巡查力度，加强安全防护。对存在问题和整改情况要建立台账，及时向业主委员会和属地社区居委会报告。属于业主专有部位的安全隐患，要及时告知业主整改，并跟进整改情况。</w:t>
      </w:r>
    </w:p>
    <w:p>
      <w:pPr>
        <w:pStyle w:val="47"/>
        <w:snapToGrid w:val="0"/>
        <w:spacing w:after="0" w:line="360" w:lineRule="auto"/>
        <w:ind w:left="0" w:leftChars="0" w:firstLine="560"/>
        <w:rPr>
          <w:rFonts w:ascii="仿宋_GB2312" w:hAnsi="Times New Roman" w:eastAsia="仿宋_GB2312" w:cstheme="minorBidi"/>
          <w:color w:val="000000" w:themeColor="text1"/>
          <w:sz w:val="28"/>
          <w:szCs w:val="28"/>
        </w:rPr>
      </w:pPr>
      <w:r>
        <w:rPr>
          <w:rFonts w:hint="eastAsia" w:ascii="仿宋_GB2312" w:hAnsi="Times New Roman" w:eastAsia="仿宋_GB2312" w:cstheme="minorBidi"/>
          <w:color w:val="000000" w:themeColor="text1"/>
          <w:sz w:val="28"/>
          <w:szCs w:val="28"/>
        </w:rPr>
        <w:t>（三）物业服务企业在专项治理期间，围绕宣传法规、提示责任、提醒义务等方面，通过微信、海报、宣传单张等多种方式，集中向业主宣传高空坠物安全防范工作。通过宣传指引，提示广大业主尽责任、守义务，及时对外窗边沿螺丝和窗框松动进行修理，及时清理凉台、窗台和空调室外机堆放的杂物，彻底消除搁置物和悬挂物坠落风险，并坚持文明的生活习惯，杜绝高空抛物。同时，提醒业主警惕高楼墙面装饰、窗户玻璃碎片等坠落物和其他丢弃物，留意警示标识和围蔽设施。</w:t>
      </w:r>
    </w:p>
    <w:p>
      <w:pPr>
        <w:pStyle w:val="5"/>
        <w:snapToGrid w:val="0"/>
        <w:rPr>
          <w:color w:val="000000" w:themeColor="text1"/>
        </w:rPr>
      </w:pPr>
      <w:bookmarkStart w:id="38" w:name="_Toc150435227"/>
      <w:r>
        <w:rPr>
          <w:rFonts w:hint="eastAsia"/>
          <w:color w:val="000000" w:themeColor="text1"/>
        </w:rPr>
        <w:t>3.车位</w:t>
      </w:r>
      <w:bookmarkEnd w:id="38"/>
    </w:p>
    <w:p>
      <w:pPr>
        <w:pStyle w:val="23"/>
        <w:shd w:val="clear" w:color="auto" w:fill="FFFFFF"/>
        <w:snapToGrid w:val="0"/>
        <w:spacing w:before="0" w:beforeAutospacing="0" w:after="0" w:afterAutospacing="0" w:line="360" w:lineRule="auto"/>
        <w:ind w:firstLine="560"/>
        <w:rPr>
          <w:rFonts w:hint="eastAsia" w:ascii="仿宋_GB2312" w:hAnsi="Helvetica Neue" w:eastAsia="仿宋_GB2312"/>
          <w:b/>
          <w:color w:val="000000" w:themeColor="text1"/>
          <w:sz w:val="28"/>
          <w:szCs w:val="21"/>
        </w:rPr>
      </w:pPr>
      <w:r>
        <w:rPr>
          <w:rFonts w:hint="eastAsia" w:ascii="仿宋_GB2312" w:hAnsi="Helvetica Neue" w:eastAsia="仿宋_GB2312"/>
          <w:b/>
          <w:color w:val="000000" w:themeColor="text1"/>
          <w:sz w:val="28"/>
          <w:szCs w:val="21"/>
        </w:rPr>
        <w:t>根据《北京市物业管理条例》：</w:t>
      </w:r>
    </w:p>
    <w:p>
      <w:pPr>
        <w:pStyle w:val="47"/>
        <w:snapToGrid w:val="0"/>
        <w:spacing w:after="0" w:line="360" w:lineRule="auto"/>
        <w:ind w:left="0" w:leftChars="0" w:firstLine="560"/>
        <w:rPr>
          <w:rFonts w:ascii="仿宋_GB2312" w:hAnsi="Times New Roman" w:eastAsia="仿宋_GB2312" w:cstheme="minorBidi"/>
          <w:color w:val="000000" w:themeColor="text1"/>
          <w:sz w:val="28"/>
          <w:szCs w:val="28"/>
        </w:rPr>
      </w:pPr>
      <w:r>
        <w:rPr>
          <w:rFonts w:hint="eastAsia" w:ascii="仿宋_GB2312" w:hAnsi="Times New Roman" w:eastAsia="仿宋_GB2312" w:cstheme="minorBidi"/>
          <w:color w:val="000000" w:themeColor="text1"/>
          <w:sz w:val="28"/>
          <w:szCs w:val="28"/>
        </w:rPr>
        <w:t>1.物业管理区域内规划用于停放车辆的车位、车库，应当首先满足业主的需要。用于出售的，应当优先出售给本物业管理区域内的业主；不出售或者尚未售出的，应当提供给本物业管理区域内的业主使用。满足业主需要后仍有空余的，可以临时按月出租给物业管理区域外的其他人。</w:t>
      </w:r>
    </w:p>
    <w:p>
      <w:pPr>
        <w:pStyle w:val="47"/>
        <w:snapToGrid w:val="0"/>
        <w:spacing w:after="0" w:line="360" w:lineRule="auto"/>
        <w:ind w:left="0" w:leftChars="0" w:firstLine="560"/>
        <w:rPr>
          <w:rFonts w:ascii="仿宋_GB2312" w:hAnsi="Times New Roman" w:eastAsia="仿宋_GB2312" w:cstheme="minorBidi"/>
          <w:color w:val="000000" w:themeColor="text1"/>
          <w:sz w:val="28"/>
          <w:szCs w:val="28"/>
        </w:rPr>
      </w:pPr>
      <w:r>
        <w:rPr>
          <w:rFonts w:hint="eastAsia" w:ascii="仿宋_GB2312" w:hAnsi="Times New Roman" w:eastAsia="仿宋_GB2312" w:cstheme="minorBidi"/>
          <w:color w:val="000000" w:themeColor="text1"/>
          <w:sz w:val="28"/>
          <w:szCs w:val="28"/>
        </w:rPr>
        <w:t>2.违反本条例第八十条规定，将车位、车库提供给业主以外的其他人的，由区住房和城乡建设或者房屋主管部门责令限期改正，有违法出租所得的，责令退还违法所得，按每个违法出租车位处五千元以上一万元以下的罚款；拒不改正的，按每个违法出租车位处每月二千元的罚款。</w:t>
      </w:r>
    </w:p>
    <w:p>
      <w:pPr>
        <w:pStyle w:val="23"/>
        <w:shd w:val="clear" w:color="auto" w:fill="FFFFFF"/>
        <w:snapToGrid w:val="0"/>
        <w:spacing w:beforeLines="50" w:beforeAutospacing="0" w:after="0" w:afterAutospacing="0" w:line="360" w:lineRule="auto"/>
        <w:ind w:firstLine="561"/>
        <w:rPr>
          <w:rFonts w:hint="eastAsia" w:ascii="仿宋_GB2312" w:hAnsi="Helvetica Neue" w:eastAsia="仿宋_GB2312"/>
          <w:b/>
          <w:color w:val="000000" w:themeColor="text1"/>
          <w:sz w:val="28"/>
          <w:szCs w:val="21"/>
        </w:rPr>
      </w:pPr>
      <w:r>
        <w:rPr>
          <w:rFonts w:hint="eastAsia" w:ascii="仿宋_GB2312" w:hAnsi="Helvetica Neue" w:eastAsia="仿宋_GB2312"/>
          <w:b/>
          <w:color w:val="000000" w:themeColor="text1"/>
          <w:sz w:val="28"/>
          <w:szCs w:val="21"/>
        </w:rPr>
        <w:t>根据《北京市机动车停车条例》：</w:t>
      </w:r>
    </w:p>
    <w:p>
      <w:pPr>
        <w:pStyle w:val="47"/>
        <w:snapToGrid w:val="0"/>
        <w:spacing w:after="0" w:line="360" w:lineRule="auto"/>
        <w:ind w:left="0" w:leftChars="0" w:firstLine="560"/>
        <w:rPr>
          <w:rFonts w:ascii="仿宋_GB2312" w:hAnsi="Times New Roman" w:eastAsia="仿宋_GB2312" w:cstheme="minorBidi"/>
          <w:color w:val="000000" w:themeColor="text1"/>
          <w:sz w:val="28"/>
          <w:szCs w:val="28"/>
        </w:rPr>
      </w:pPr>
      <w:r>
        <w:rPr>
          <w:rFonts w:hint="eastAsia" w:ascii="仿宋_GB2312" w:hAnsi="Times New Roman" w:eastAsia="仿宋_GB2312" w:cstheme="minorBidi"/>
          <w:color w:val="000000" w:themeColor="text1"/>
          <w:sz w:val="28"/>
          <w:szCs w:val="28"/>
        </w:rPr>
        <w:t>1.任何单位和个人不得擅自在道路上和其他公共区域内设置固定或者可移动障碍物阻碍机动车停放和通行；不得在未取得所有权和专属使用权的停车泊位上设置地桩、地锁。物业服务企业应当在物业管理协议和车位租赁协议中予以明示并统一管理。</w:t>
      </w:r>
    </w:p>
    <w:p>
      <w:pPr>
        <w:pStyle w:val="47"/>
        <w:snapToGrid w:val="0"/>
        <w:spacing w:after="0" w:line="360" w:lineRule="auto"/>
        <w:ind w:left="0" w:leftChars="0" w:firstLine="560"/>
        <w:rPr>
          <w:rFonts w:ascii="仿宋_GB2312" w:hAnsi="Times New Roman" w:eastAsia="仿宋_GB2312" w:cstheme="minorBidi"/>
          <w:color w:val="000000" w:themeColor="text1"/>
          <w:sz w:val="28"/>
          <w:szCs w:val="28"/>
        </w:rPr>
      </w:pPr>
      <w:r>
        <w:rPr>
          <w:rFonts w:hint="eastAsia" w:ascii="仿宋_GB2312" w:hAnsi="Times New Roman" w:eastAsia="仿宋_GB2312" w:cstheme="minorBidi"/>
          <w:color w:val="000000" w:themeColor="text1"/>
          <w:sz w:val="28"/>
          <w:szCs w:val="28"/>
        </w:rPr>
        <w:t>违反前款规定，擅自设置固定或者可移动障碍物的，道路范围内由公安机关交通管理部门责令停止违法行为，迅速恢复交通；实行物业管理的居住小区公共区域内，由住房城乡建设部门依据物业管理的相关规定进行处罚；其他公共场所内，由城市管理综合执法部门责令停止违法行为，恢复原状，并处五百元以上一千元以下罚款。</w:t>
      </w:r>
    </w:p>
    <w:p>
      <w:pPr>
        <w:pStyle w:val="47"/>
        <w:snapToGrid w:val="0"/>
        <w:spacing w:after="0" w:line="360" w:lineRule="auto"/>
        <w:ind w:left="0" w:leftChars="0" w:firstLine="560"/>
        <w:rPr>
          <w:rFonts w:ascii="仿宋_GB2312" w:hAnsi="Times New Roman" w:eastAsia="仿宋_GB2312" w:cstheme="minorBidi"/>
          <w:color w:val="000000" w:themeColor="text1"/>
          <w:sz w:val="28"/>
          <w:szCs w:val="28"/>
        </w:rPr>
      </w:pPr>
      <w:r>
        <w:rPr>
          <w:rFonts w:hint="eastAsia" w:ascii="仿宋_GB2312" w:hAnsi="Times New Roman" w:eastAsia="仿宋_GB2312" w:cstheme="minorBidi"/>
          <w:color w:val="000000" w:themeColor="text1"/>
          <w:sz w:val="28"/>
          <w:szCs w:val="28"/>
        </w:rPr>
        <w:t>非电动汽车不得占用电动汽车专用泊位。违反规定的，由公安机关交通管理部门责令改正，依法给予处罚。</w:t>
      </w:r>
    </w:p>
    <w:p>
      <w:pPr>
        <w:pStyle w:val="47"/>
        <w:snapToGrid w:val="0"/>
        <w:spacing w:after="0" w:line="360" w:lineRule="auto"/>
        <w:ind w:left="0" w:leftChars="0" w:firstLine="560"/>
        <w:rPr>
          <w:rFonts w:ascii="仿宋_GB2312" w:hAnsi="Times New Roman" w:eastAsia="仿宋_GB2312" w:cstheme="minorBidi"/>
          <w:color w:val="000000" w:themeColor="text1"/>
          <w:sz w:val="28"/>
          <w:szCs w:val="28"/>
        </w:rPr>
      </w:pPr>
      <w:r>
        <w:rPr>
          <w:rFonts w:hint="eastAsia" w:ascii="仿宋_GB2312" w:hAnsi="Times New Roman" w:eastAsia="仿宋_GB2312" w:cstheme="minorBidi"/>
          <w:color w:val="000000" w:themeColor="text1"/>
          <w:sz w:val="28"/>
          <w:szCs w:val="28"/>
        </w:rPr>
        <w:t>2.调整居住小区内业主共有的停车泊位的收费价格时，应当经专有部分占建筑物总面积过半数的业主且占总人数过半数的业主同意。违反规定，未按照规定程序调整居住小区停车收费价格的，由住房城乡建设部门责令限期改正，并处10万元罚款。</w:t>
      </w:r>
    </w:p>
    <w:p>
      <w:pPr>
        <w:pStyle w:val="47"/>
        <w:snapToGrid w:val="0"/>
        <w:spacing w:after="0" w:line="360" w:lineRule="auto"/>
        <w:ind w:left="0" w:leftChars="0" w:firstLine="560"/>
        <w:rPr>
          <w:rFonts w:ascii="仿宋_GB2312" w:hAnsi="Times New Roman" w:eastAsia="仿宋_GB2312" w:cstheme="minorBidi"/>
          <w:color w:val="000000" w:themeColor="text1"/>
          <w:sz w:val="28"/>
          <w:szCs w:val="28"/>
        </w:rPr>
      </w:pPr>
    </w:p>
    <w:p>
      <w:pPr>
        <w:spacing w:line="360" w:lineRule="auto"/>
        <w:ind w:firstLine="560" w:firstLineChars="200"/>
        <w:rPr>
          <w:rFonts w:ascii="仿宋_GB2312" w:hAnsi="仿宋" w:eastAsia="仿宋_GB2312" w:cs="仿宋"/>
          <w:color w:val="000000" w:themeColor="text1"/>
          <w:sz w:val="28"/>
          <w:szCs w:val="28"/>
        </w:rPr>
      </w:pPr>
      <w:r>
        <w:rPr>
          <w:rFonts w:hint="eastAsia" w:hAnsi="Helvetica Neue" w:cs="宋体"/>
          <w:color w:val="000000" w:themeColor="text1"/>
          <w:kern w:val="0"/>
          <w:sz w:val="28"/>
          <w:szCs w:val="21"/>
        </w:rPr>
        <w:br w:type="page"/>
      </w:r>
    </w:p>
    <w:p>
      <w:pPr>
        <w:pStyle w:val="47"/>
        <w:ind w:firstLine="640"/>
        <w:rPr>
          <w:rStyle w:val="50"/>
          <w:color w:val="000000" w:themeColor="text1"/>
        </w:rPr>
      </w:pPr>
      <w:bookmarkStart w:id="39" w:name="_Toc1934443896"/>
    </w:p>
    <w:p>
      <w:pPr>
        <w:pStyle w:val="3"/>
        <w:spacing w:before="156" w:after="156"/>
        <w:rPr>
          <w:color w:val="000000" w:themeColor="text1"/>
        </w:rPr>
      </w:pPr>
      <w:bookmarkStart w:id="40" w:name="_Toc150435228"/>
      <w:r>
        <w:rPr>
          <w:rFonts w:hint="eastAsia"/>
          <w:color w:val="000000" w:themeColor="text1"/>
        </w:rPr>
        <w:t>二、共用部位及共用设施设备运行、检修养护合规指南</w:t>
      </w:r>
      <w:bookmarkEnd w:id="39"/>
      <w:bookmarkEnd w:id="40"/>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物业设备设施管理是指物业服务企业的工程管理人员通过熟悉和掌握设备设施的原理性能，对其进行正确地使用、保养与维修，使之保持最佳运行状态，从而为业主和使用人提供舒适、安全的环境。物业设施设备的正确使用与完善管理，也体现出物业服务企业的技术水平与管理水平。</w:t>
      </w:r>
    </w:p>
    <w:p>
      <w:pPr>
        <w:pStyle w:val="4"/>
        <w:spacing w:before="312" w:after="312"/>
        <w:rPr>
          <w:color w:val="000000" w:themeColor="text1"/>
        </w:rPr>
      </w:pPr>
      <w:bookmarkStart w:id="41" w:name="_Toc1443628139"/>
      <w:bookmarkStart w:id="42" w:name="_Toc150435229"/>
      <w:r>
        <w:rPr>
          <w:rFonts w:hint="eastAsia"/>
          <w:color w:val="000000" w:themeColor="text1"/>
        </w:rPr>
        <w:t>（一）综合管理合规指南</w:t>
      </w:r>
      <w:bookmarkEnd w:id="41"/>
      <w:bookmarkEnd w:id="42"/>
    </w:p>
    <w:p>
      <w:pPr>
        <w:ind w:firstLine="562" w:firstLineChars="200"/>
        <w:rPr>
          <w:rFonts w:ascii="仿宋_GB2312" w:eastAsia="仿宋_GB2312"/>
          <w:b/>
          <w:color w:val="000000" w:themeColor="text1"/>
        </w:rPr>
      </w:pPr>
      <w:r>
        <w:rPr>
          <w:rFonts w:hint="eastAsia" w:ascii="仿宋_GB2312" w:hAnsi="仿宋" w:eastAsia="仿宋_GB2312" w:cs="Times New Roman"/>
          <w:b/>
          <w:color w:val="000000" w:themeColor="text1"/>
          <w:sz w:val="28"/>
          <w:szCs w:val="32"/>
        </w:rPr>
        <w:t>根据《住宅物业服务标准》：</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1.组织实施房屋使用安全情况检查、评估。（一至五级）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2.检查发现问题的处置（一至五级）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（1）共用部位检查中发现的问题，应按照责任范围编制修缮计划，并按计划组织修缮；共用设施设备运行中出现的故障及检查中发现的问题，应及时组织修复。</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2）对属于大、中修、更新改造范围的共用部位、共用设施设备维修，及时编制维修计划和住房专项维修资金使用计划，向业主大会或者业主委员会（物业管理委员会）提出报告与建议，根据业主大会的决定，组织维修，属于应急维修范畴的按照专项维修资金应急使用流程支取。</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3.每年第四季度制定下一年度维修养护计划。（一至五级）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4.特种设备按照有关规定运行、维修养护和定期检测。（一至五级）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5.雷电、强降水、大风、沙尘暴等极端天气前后进行检查、落实防范措施，并做好记录。（一至五级）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6.设备机房</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 每月清洁1次，室内无杂物。（一至三级）</w:t>
      </w:r>
    </w:p>
    <w:p>
      <w:pPr>
        <w:spacing w:line="360" w:lineRule="auto"/>
        <w:ind w:firstLine="1400" w:firstLineChars="5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每半个月清洁1次，室内无杂物。（四级）</w:t>
      </w:r>
    </w:p>
    <w:p>
      <w:pPr>
        <w:spacing w:line="360" w:lineRule="auto"/>
        <w:ind w:firstLine="1400" w:firstLineChars="5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每周清洁1次，室内无杂物。（五级）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（2） 设置挡鼠板、鼠药盒或粘鼠板。（一至五级）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（3） 在明显易取位置配备消防器材，确保完好有效。（一至五级）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（4） 设施设备标识、标牌齐全。（一至五级）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（5） 张贴或悬挂相关制度、证书。（一至五级）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（6） 交接班记录、工作日志等齐全、完整。（一至五级）</w:t>
      </w:r>
    </w:p>
    <w:p>
      <w:pPr>
        <w:widowControl/>
        <w:jc w:val="left"/>
        <w:rPr>
          <w:rFonts w:ascii="仿宋_GB2312" w:hAnsi="Arial" w:eastAsia="仿宋_GB2312"/>
          <w:color w:val="000000" w:themeColor="text1"/>
          <w:sz w:val="32"/>
        </w:rPr>
      </w:pPr>
      <w:r>
        <w:rPr>
          <w:rFonts w:hint="eastAsia" w:ascii="仿宋_GB2312" w:eastAsia="仿宋_GB2312"/>
          <w:color w:val="000000" w:themeColor="text1"/>
        </w:rPr>
        <w:br w:type="page"/>
      </w:r>
    </w:p>
    <w:p>
      <w:pPr>
        <w:pStyle w:val="4"/>
        <w:spacing w:before="312" w:after="312"/>
        <w:rPr>
          <w:color w:val="000000" w:themeColor="text1"/>
        </w:rPr>
      </w:pPr>
      <w:bookmarkStart w:id="43" w:name="_Toc787888367"/>
      <w:bookmarkStart w:id="44" w:name="_Toc150435230"/>
      <w:r>
        <w:rPr>
          <w:rFonts w:hint="eastAsia"/>
          <w:color w:val="000000" w:themeColor="text1"/>
        </w:rPr>
        <w:t>（二）共用部位检修养护合规指南</w:t>
      </w:r>
      <w:bookmarkEnd w:id="43"/>
      <w:bookmarkEnd w:id="44"/>
    </w:p>
    <w:p>
      <w:pPr>
        <w:ind w:firstLine="562" w:firstLineChars="200"/>
        <w:rPr>
          <w:rFonts w:ascii="仿宋_GB2312" w:eastAsia="仿宋_GB2312"/>
          <w:b/>
          <w:color w:val="000000" w:themeColor="text1"/>
        </w:rPr>
      </w:pPr>
      <w:r>
        <w:rPr>
          <w:rFonts w:hint="eastAsia" w:ascii="仿宋_GB2312" w:hAnsi="仿宋" w:eastAsia="仿宋_GB2312" w:cs="Times New Roman"/>
          <w:b/>
          <w:color w:val="000000" w:themeColor="text1"/>
          <w:sz w:val="28"/>
          <w:szCs w:val="32"/>
        </w:rPr>
        <w:t>根据《住宅物业服务标准》：</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1.房屋结构</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每年检查1次梁、板、柱等结构构件，外观出现变形、开裂等现象时，应申请房屋安全鉴定，同时采取必要的防护措施。按照鉴定结果组织修缮。（一级）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每半年检查1次梁、板、柱等结构构件，外观出现变形、开裂等现象时，应申请房屋安全鉴定，同时采取必要的防护措施。按鉴定结果组织修缮。（二级）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每季度检查1次梁、板、柱等结构构件，外观出现变形、开裂等现象时，应申请房屋安全鉴定，同时采取必要的防护措施。按鉴定结果组织修缮。（三至五级）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2.建筑部件</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（1）每年检查1次外墙贴饰面或抹灰、屋檐、阳台、雨罩、空调室外机支撑构件等。（一级）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每半年检查1次外墙贴饰面或抹灰、屋檐、阳台、雨罩、空调室外机支撑构件等。（二级）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每季度检查1次外墙贴饰面或抹灰、屋檐、阳台、雨罩、空调室外机支撑构件等。（三至五级）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（2）每年巡查1次共用部位的门、窗、玻璃等。（一级）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每半年巡查1次共用部位的门、窗、玻璃等。（二级）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每季度巡查1次共用部位的门、窗、玻璃等。（三级至五级）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（3）每年检查1次共用部位的室内地面、墙面、天棚；室外屋面、散水等。（一级）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每半年检查1次共用部位的室内地面、墙面、天棚；室外屋面、散水等。（二级）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每季度检查1次共用部位的室内地面、墙面、天棚；室外屋面、散水等。（三级）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每2个月检查1次共用部位的室内地面、墙面、天棚；室外屋面、散水等。（四级至五级）</w:t>
      </w:r>
    </w:p>
    <w:p>
      <w:pPr>
        <w:numPr>
          <w:ilvl w:val="0"/>
          <w:numId w:val="3"/>
        </w:num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每年上汛前、政府发布暴雨预警及强降雨后检查屋面防水和雨落管等。（一至五级）</w:t>
      </w:r>
    </w:p>
    <w:p>
      <w:pPr>
        <w:spacing w:line="360" w:lineRule="auto"/>
        <w:ind w:firstLine="700" w:firstLineChars="25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年上汛前、政府发布暴雨预警及强降雨后对屋面防水层、保护层及上一汛期中的漏水点进行全面检查，不得出现防水层或保护层鼓包破损、裂纹、接口开裂等现象。对屋面的雨水落水口、落水管进行检查，清理屋面的杂物，确保雨水落水口无堵塞，管线畅通。对于管线开裂、脱落、渗水等，及时更换或修复。（一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5）巡视时如发现窗框松动、门窗扇开关不灵活、糟朽、开焊、小五金缺损等情况应修补。修补后的钢木门窗应开关灵活不松动，框与墙体结合牢固，五金齐全；玻璃安装牢固，窗纱绷紧，不露纱头。（一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6）物业共用部分的室内墙面及顶棚不应出现开裂空鼓、剥落现象，修缮后的内墙面及顶棚应恢复原有功能，抹面应接搓平整、不起泡、不翘边，面层与基层结合牢固。吊顶的龙骨应整齐，无明显变形。吊顶板整洁无污渍，不缺边角。</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室内地面、散水不应出现起砂、空鼓、松动的情况，维修后应平整、光滑、接搓平顺。</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外墙面应保持整洁。墙皮和涂料不起皮，不开裂。外墙砖不松动，不空鼓。外檐抹灰、块料面层因局部严重空鼓有脱落危险的，应及时排除险情，排除后应不存在安全隐患。在冬、夏季节交换的高温差时期，要特别加强对墙面装饰材料的检查和维修，防止高空坠落伤人的现象发生。</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烟道不应有裂缝、破损、堵塞，修缮后应保持通畅。（一至五级）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3.附属构筑物</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（1）每半年巡查1次道路、场地、阶梯及扶手、侧石、管井、沟渠等。（一级）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每季度巡查1次道路、场地、阶梯及扶手、侧石、管井、沟渠等。（二级）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每月巡查1次道路、场地、阶梯及扶手、侧石、管井、沟渠等。（三级）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每2周巡查1次道路、场地、阶梯及扶手、侧石、管井、沟渠等。（四级）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每周巡查1次道路、场地、阶梯及扶手、侧石、管井、沟渠等。</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（2）每半年检查1次雨、污水管井等。（一至二级）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每季度检查1次雨、污水管井等。（三级）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每月检查1次雨、污水管井等。（四至五级）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（3）每年度巡查1次大门、围墙、围栏。（一级）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每半年巡查1次大门、围墙、围栏。（二级）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每月巡查1次大门、围墙、围栏等。（三级）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每2周巡查1次大门、围墙、围栏等。（四级）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每周巡查1次大门、围墙、围栏等。（五级）</w:t>
      </w:r>
    </w:p>
    <w:p>
      <w:pPr>
        <w:numPr>
          <w:ilvl w:val="0"/>
          <w:numId w:val="3"/>
        </w:num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每年检测1次防雷装置，检测率不低于100%。于每年上汛前即6月15日前完成检测。（一至四级）</w:t>
      </w:r>
    </w:p>
    <w:p>
      <w:pPr>
        <w:ind w:firstLine="560" w:firstLineChars="200"/>
        <w:rPr>
          <w:rFonts w:ascii="仿宋_GB2312" w:eastAsia="仿宋_GB2312"/>
          <w:color w:val="000000" w:themeColor="text1"/>
        </w:rPr>
      </w:pPr>
      <w:r>
        <w:rPr>
          <w:rFonts w:hint="eastAsia" w:ascii="仿宋_GB2312" w:hAnsi="方正仿宋_GB2312" w:eastAsia="仿宋_GB2312" w:cs="方正仿宋_GB2312"/>
          <w:color w:val="000000" w:themeColor="text1"/>
          <w:sz w:val="28"/>
          <w:szCs w:val="28"/>
        </w:rPr>
        <w:t>每年检测1次防雷装置，检测率不低于100%。于每年上汛前即6月15日前完成检测。信号系统应加装信号级电涌保护器。（五级）</w:t>
      </w:r>
    </w:p>
    <w:p>
      <w:pPr>
        <w:widowControl/>
        <w:jc w:val="left"/>
        <w:rPr>
          <w:rFonts w:ascii="仿宋_GB2312" w:hAnsi="Arial" w:eastAsia="仿宋_GB2312"/>
          <w:color w:val="000000" w:themeColor="text1"/>
          <w:sz w:val="32"/>
        </w:rPr>
      </w:pPr>
      <w:r>
        <w:rPr>
          <w:rFonts w:hint="eastAsia" w:ascii="仿宋_GB2312" w:eastAsia="仿宋_GB2312"/>
          <w:color w:val="000000" w:themeColor="text1"/>
        </w:rPr>
        <w:br w:type="page"/>
      </w:r>
    </w:p>
    <w:p>
      <w:pPr>
        <w:pStyle w:val="4"/>
        <w:spacing w:before="312" w:after="312"/>
        <w:rPr>
          <w:color w:val="000000" w:themeColor="text1"/>
        </w:rPr>
      </w:pPr>
      <w:bookmarkStart w:id="45" w:name="_Toc655616767"/>
      <w:bookmarkStart w:id="46" w:name="_Toc150435231"/>
      <w:r>
        <w:rPr>
          <w:rFonts w:hint="eastAsia"/>
          <w:color w:val="000000" w:themeColor="text1"/>
        </w:rPr>
        <w:t>（三）中央空调系统检修养护合规指南</w:t>
      </w:r>
      <w:bookmarkEnd w:id="45"/>
      <w:bookmarkEnd w:id="46"/>
    </w:p>
    <w:p>
      <w:pPr>
        <w:ind w:firstLine="562" w:firstLineChars="200"/>
        <w:rPr>
          <w:rFonts w:ascii="仿宋_GB2312" w:hAnsi="方正仿宋_GB2312" w:eastAsia="仿宋_GB2312" w:cs="方正仿宋_GB2312"/>
          <w:color w:val="000000" w:themeColor="text1"/>
          <w:sz w:val="28"/>
          <w:szCs w:val="28"/>
        </w:rPr>
      </w:pPr>
      <w:r>
        <w:rPr>
          <w:rFonts w:hint="eastAsia" w:ascii="仿宋_GB2312" w:hAnsi="仿宋" w:eastAsia="仿宋_GB2312" w:cs="Times New Roman"/>
          <w:b/>
          <w:color w:val="000000" w:themeColor="text1"/>
          <w:sz w:val="28"/>
          <w:szCs w:val="32"/>
        </w:rPr>
        <w:t>根据《住宅物业服务标准》</w:t>
      </w:r>
      <w:r>
        <w:rPr>
          <w:rFonts w:hint="eastAsia" w:ascii="仿宋_GB2312" w:hAnsi="方正仿宋_GB2312" w:eastAsia="仿宋_GB2312" w:cs="方正仿宋_GB2312"/>
          <w:color w:val="000000" w:themeColor="text1"/>
          <w:sz w:val="28"/>
          <w:szCs w:val="28"/>
        </w:rPr>
        <w:t>：</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1.运行前对冷水机组、循环水泵、冷却塔、风机、风机盘管、风道、水处理等设施设备进行系统性检查。（一至五级）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2.运行期间每日巡查1次空调系统，保证室内温度符合相关规定。（一至五级）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3.每年清洗消毒1次新风机、空气处理机滤网、表冷器、箱体、风机盘管滤网等。（一至三级）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每年清洗消毒1次新风机、空气处理机滤网、表冷器、箱体等；每年清洗消毒2次风机盘管滤网；每两年清洗消毒1次风管。（四至五级）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4.每年对空调系统进行1次整体性维修养护。（二至五级）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5.制定节能措施，每月对能源消耗进行统计、分析。（三至五级）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6.每年检查1次管道、阀门并除锈。（三至五级）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7.每年检验1次压力容器、仪表及冷却塔噪声。（三至五级）</w:t>
      </w:r>
    </w:p>
    <w:p>
      <w:pPr>
        <w:spacing w:line="360" w:lineRule="auto"/>
        <w:ind w:firstLine="562"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b/>
          <w:bCs/>
          <w:color w:val="000000" w:themeColor="text1"/>
          <w:sz w:val="28"/>
          <w:szCs w:val="28"/>
        </w:rPr>
        <w:t>根据《北京市民用建筑节能管理办法》</w:t>
      </w:r>
      <w:r>
        <w:rPr>
          <w:rFonts w:hint="eastAsia" w:ascii="仿宋_GB2312" w:hAnsi="方正仿宋_GB2312" w:eastAsia="仿宋_GB2312" w:cs="方正仿宋_GB2312"/>
          <w:color w:val="000000" w:themeColor="text1"/>
          <w:sz w:val="28"/>
          <w:szCs w:val="28"/>
        </w:rPr>
        <w:t>：</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1.公共建筑和居住建筑的使用人应当提高节能意识，在日常使用中注意节电、节水、节能。</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2.任何人不得损坏、擅自拆改建筑物围护结构保温层、供热计量装置与调控系统、能耗计量设施等。</w:t>
      </w:r>
    </w:p>
    <w:p>
      <w:pPr>
        <w:snapToGrid w:val="0"/>
        <w:spacing w:line="360" w:lineRule="auto"/>
        <w:ind w:firstLine="562" w:firstLineChars="200"/>
        <w:rPr>
          <w:rFonts w:ascii="仿宋_GB2312" w:hAnsi="方正仿宋_GB2312" w:eastAsia="仿宋_GB2312" w:cs="方正仿宋_GB2312"/>
          <w:color w:val="000000" w:themeColor="text1"/>
          <w:sz w:val="28"/>
          <w:szCs w:val="28"/>
        </w:rPr>
      </w:pPr>
      <w:r>
        <w:rPr>
          <w:rFonts w:ascii="仿宋_GB2312" w:hAnsi="方正仿宋_GB2312" w:eastAsia="仿宋_GB2312" w:cs="方正仿宋_GB2312"/>
          <w:b/>
          <w:bCs/>
          <w:color w:val="000000" w:themeColor="text1"/>
          <w:sz w:val="28"/>
          <w:szCs w:val="28"/>
        </w:rPr>
        <w:t>根据《关于严格执行公共建筑空调温度控制标准的通知》（国发〔2006〕28号）</w:t>
      </w:r>
      <w:r>
        <w:rPr>
          <w:rFonts w:hint="eastAsia" w:ascii="仿宋_GB2312" w:hAnsi="方正仿宋_GB2312" w:eastAsia="仿宋_GB2312" w:cs="方正仿宋_GB2312"/>
          <w:color w:val="000000" w:themeColor="text1"/>
          <w:sz w:val="28"/>
          <w:szCs w:val="28"/>
        </w:rPr>
        <w:t>要求，</w:t>
      </w:r>
      <w:r>
        <w:rPr>
          <w:rFonts w:ascii="仿宋_GB2312" w:hAnsi="方正仿宋_GB2312" w:eastAsia="仿宋_GB2312" w:cs="方正仿宋_GB2312"/>
          <w:color w:val="000000" w:themeColor="text1"/>
          <w:sz w:val="28"/>
          <w:szCs w:val="28"/>
        </w:rPr>
        <w:t>控制室内温度，夏季不低于26摄氏度，冬季不高于20摄氏度。</w:t>
      </w:r>
    </w:p>
    <w:p>
      <w:pPr>
        <w:snapToGrid w:val="0"/>
        <w:spacing w:line="360" w:lineRule="auto"/>
        <w:ind w:firstLine="562" w:firstLineChars="200"/>
        <w:rPr>
          <w:rFonts w:ascii="仿宋_GB2312" w:hAnsi="方正仿宋_GB2312" w:eastAsia="仿宋_GB2312" w:cs="方正仿宋_GB2312"/>
          <w:color w:val="000000" w:themeColor="text1"/>
          <w:sz w:val="28"/>
          <w:szCs w:val="28"/>
        </w:rPr>
      </w:pPr>
      <w:r>
        <w:rPr>
          <w:rFonts w:ascii="仿宋_GB2312" w:hAnsi="方正仿宋_GB2312" w:eastAsia="仿宋_GB2312" w:cs="方正仿宋_GB2312"/>
          <w:b/>
          <w:bCs/>
          <w:color w:val="000000" w:themeColor="text1"/>
          <w:sz w:val="28"/>
          <w:szCs w:val="28"/>
        </w:rPr>
        <w:t>根据卫生部《公共场所集中空调通风系统卫生管理办法》（卫监督发〔2006〕53号）</w:t>
      </w:r>
      <w:r>
        <w:rPr>
          <w:rFonts w:ascii="仿宋_GB2312" w:hAnsi="方正仿宋_GB2312" w:eastAsia="仿宋_GB2312" w:cs="方正仿宋_GB2312"/>
          <w:color w:val="000000" w:themeColor="text1"/>
          <w:sz w:val="28"/>
          <w:szCs w:val="28"/>
        </w:rPr>
        <w:t>要求，建立空调卫生管理制度和应急预案。</w:t>
      </w:r>
    </w:p>
    <w:p>
      <w:pPr>
        <w:spacing w:line="360" w:lineRule="auto"/>
        <w:ind w:firstLine="562" w:firstLineChars="200"/>
        <w:rPr>
          <w:rFonts w:ascii="仿宋_GB2312" w:hAnsi="仿宋" w:eastAsia="仿宋_GB2312" w:cs="仿宋"/>
          <w:b/>
          <w:color w:val="000000" w:themeColor="text1"/>
          <w:sz w:val="40"/>
          <w:szCs w:val="28"/>
        </w:rPr>
      </w:pPr>
      <w:r>
        <w:rPr>
          <w:rFonts w:hint="eastAsia" w:ascii="仿宋_GB2312" w:eastAsia="仿宋_GB2312"/>
          <w:b/>
          <w:color w:val="000000" w:themeColor="text1"/>
          <w:sz w:val="28"/>
        </w:rPr>
        <w:t>风险提示</w:t>
      </w:r>
    </w:p>
    <w:p>
      <w:pPr>
        <w:spacing w:line="360" w:lineRule="auto"/>
        <w:ind w:firstLine="562"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b/>
          <w:bCs/>
          <w:color w:val="000000" w:themeColor="text1"/>
          <w:sz w:val="28"/>
          <w:szCs w:val="28"/>
        </w:rPr>
        <w:t>根据《北京市民用建筑节能管理办法》</w:t>
      </w:r>
      <w:r>
        <w:rPr>
          <w:rFonts w:hint="eastAsia" w:ascii="仿宋_GB2312" w:hAnsi="方正仿宋_GB2312" w:eastAsia="仿宋_GB2312" w:cs="方正仿宋_GB2312"/>
          <w:color w:val="000000" w:themeColor="text1"/>
          <w:sz w:val="28"/>
          <w:szCs w:val="28"/>
        </w:rPr>
        <w:t>：</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第四十二条  违反本办法第三十三条规定，损坏建筑物围护结构保温层的，由住房城乡建设行政主管部门责令改正，情节严重的可处1000元以上1万元以下罚款。损坏供热计量装置与调控系统的，由城市管理综合执法部门责令改正，可处500元以上1000元以下罚款；情节严重，影响正常供热的，可处1000元以上1万元以下罚款。</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br w:type="page"/>
      </w:r>
    </w:p>
    <w:p>
      <w:pPr>
        <w:pStyle w:val="4"/>
        <w:spacing w:before="312" w:after="312"/>
        <w:rPr>
          <w:color w:val="000000" w:themeColor="text1"/>
        </w:rPr>
      </w:pPr>
      <w:bookmarkStart w:id="47" w:name="_Toc150435232"/>
      <w:bookmarkStart w:id="48" w:name="_Toc212410212"/>
      <w:r>
        <w:rPr>
          <w:rFonts w:hint="eastAsia"/>
          <w:color w:val="000000" w:themeColor="text1"/>
        </w:rPr>
        <w:t>（四）二次供水设施检修养护合规指南</w:t>
      </w:r>
      <w:bookmarkEnd w:id="47"/>
      <w:bookmarkEnd w:id="48"/>
    </w:p>
    <w:p>
      <w:pPr>
        <w:snapToGrid w:val="0"/>
        <w:spacing w:beforeLines="50" w:line="360" w:lineRule="auto"/>
        <w:ind w:firstLine="562" w:firstLineChars="200"/>
        <w:rPr>
          <w:rFonts w:ascii="仿宋_GB2312" w:hAnsi="方正仿宋_GB2312" w:eastAsia="仿宋_GB2312" w:cs="方正仿宋_GB2312"/>
          <w:b/>
          <w:color w:val="000000" w:themeColor="text1"/>
          <w:sz w:val="28"/>
          <w:szCs w:val="28"/>
        </w:rPr>
      </w:pPr>
      <w:r>
        <w:rPr>
          <w:rFonts w:hint="eastAsia" w:ascii="仿宋_GB2312" w:hAnsi="方正仿宋_GB2312" w:eastAsia="仿宋_GB2312" w:cs="方正仿宋_GB2312"/>
          <w:b/>
          <w:color w:val="000000" w:themeColor="text1"/>
          <w:sz w:val="28"/>
          <w:szCs w:val="28"/>
        </w:rPr>
        <w:t>根据《生活饮用水卫生监督管理办法》（建设部 卫生部令第53号）：</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1</w:t>
      </w:r>
      <w:r>
        <w:rPr>
          <w:rFonts w:ascii="仿宋_GB2312" w:hAnsi="方正仿宋_GB2312" w:eastAsia="仿宋_GB2312" w:cs="方正仿宋_GB2312"/>
          <w:color w:val="000000" w:themeColor="text1"/>
          <w:sz w:val="28"/>
          <w:szCs w:val="28"/>
        </w:rPr>
        <w:t>.</w:t>
      </w:r>
      <w:r>
        <w:rPr>
          <w:rFonts w:hint="eastAsia" w:ascii="仿宋_GB2312" w:hAnsi="方正仿宋_GB2312" w:eastAsia="仿宋_GB2312" w:cs="方正仿宋_GB2312"/>
          <w:color w:val="000000" w:themeColor="text1"/>
          <w:sz w:val="28"/>
          <w:szCs w:val="28"/>
        </w:rPr>
        <w:t>供水单位供应的饮用水必须符合国家生活饮用水卫生标准。</w:t>
      </w:r>
    </w:p>
    <w:p>
      <w:pPr>
        <w:pStyle w:val="47"/>
        <w:ind w:left="0" w:leftChars="0" w:firstLine="560"/>
        <w:rPr>
          <w:rFonts w:ascii="仿宋_GB2312" w:hAnsi="方正仿宋_GB2312" w:eastAsia="仿宋_GB2312" w:cs="方正仿宋_GB2312"/>
          <w:color w:val="000000" w:themeColor="text1"/>
          <w:sz w:val="28"/>
          <w:szCs w:val="28"/>
        </w:rPr>
      </w:pPr>
      <w:r>
        <w:rPr>
          <w:rFonts w:ascii="仿宋_GB2312" w:hAnsi="方正仿宋_GB2312" w:eastAsia="仿宋_GB2312" w:cs="方正仿宋_GB2312"/>
          <w:color w:val="000000" w:themeColor="text1"/>
          <w:sz w:val="28"/>
          <w:szCs w:val="28"/>
        </w:rPr>
        <w:t>2.</w:t>
      </w:r>
      <w:r>
        <w:rPr>
          <w:rFonts w:hint="eastAsia" w:ascii="仿宋_GB2312" w:hAnsi="方正仿宋_GB2312" w:eastAsia="仿宋_GB2312" w:cs="方正仿宋_GB2312"/>
          <w:color w:val="000000" w:themeColor="text1"/>
          <w:sz w:val="28"/>
          <w:szCs w:val="28"/>
        </w:rPr>
        <w:t>从事二次供水设施清洗消毒的单位必须取得当地人民政府卫生行政部门的卫生许可后，方可从事清洗消毒工作。清洗消毒人员，必须经卫生知识培训和健康检查，取得体检合格证后方可上岗。</w:t>
      </w:r>
    </w:p>
    <w:p>
      <w:pPr>
        <w:ind w:firstLine="562" w:firstLineChars="200"/>
        <w:rPr>
          <w:rFonts w:ascii="仿宋_GB2312" w:hAnsi="方正仿宋_GB2312" w:eastAsia="仿宋_GB2312" w:cs="方正仿宋_GB2312"/>
          <w:color w:val="000000" w:themeColor="text1"/>
          <w:sz w:val="28"/>
          <w:szCs w:val="28"/>
        </w:rPr>
      </w:pPr>
      <w:r>
        <w:rPr>
          <w:rFonts w:hint="eastAsia" w:ascii="仿宋_GB2312" w:hAnsi="仿宋" w:eastAsia="仿宋_GB2312" w:cs="Times New Roman"/>
          <w:b/>
          <w:color w:val="000000" w:themeColor="text1"/>
          <w:sz w:val="28"/>
          <w:szCs w:val="32"/>
        </w:rPr>
        <w:t>根据《住宅物业服务标准》</w:t>
      </w:r>
      <w:r>
        <w:rPr>
          <w:rFonts w:hint="eastAsia" w:ascii="仿宋_GB2312" w:hAnsi="方正仿宋_GB2312" w:eastAsia="仿宋_GB2312" w:cs="方正仿宋_GB2312"/>
          <w:color w:val="000000" w:themeColor="text1"/>
          <w:sz w:val="28"/>
          <w:szCs w:val="28"/>
        </w:rPr>
        <w:t>：</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1.按照卫生防疫部门的要求使用消毒设备，生活水箱每年应不少于一次清洗消毒、水质化验，化验结果应符合国家生活饮用水卫生标准。（一至五级）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2.每日巡视1次水箱间、水泵房，检查设备运行状况。（一至二级）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每日巡视2次水箱间、水泵房，检查设备运行状况。（三至五级）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3.每半年切换1次备用水泵。（一级）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每季度切换1次备用水泵。（二级）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每2个月切换1次备用水泵。（三级）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每月切换1次备用水泵。（四至五级）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4.每年检查1次水泵润滑情况，补充或更换润滑剂；每年养护1次水泵。（一至二级）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每年检查不低于2次水泵润滑情况，补充或更换润滑剂；每年养护1次水泵。（三级）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每季度检查1次水泵润滑情况，补充或更换润滑剂；每年养护1次水泵。（四至五级）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5.每年对供水管道、阀门等进行除锈、刷漆，每年入冬前对暴露管道进行防冻处理。（一至五级）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6.水箱、蓄水池盖板应保持完好并加双锁，钥匙由专人分别保管；溢流管口、透气口应安装金属防护网并保持完好。（一至五级）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7.设施设备运行正常，无跑冒滴漏、无污染；水箱及管道无锈蚀；做好日常巡视、维修、养护、水箱清洗消毒的工作记录。（一至五级）</w:t>
      </w:r>
    </w:p>
    <w:p>
      <w:pPr>
        <w:snapToGrid w:val="0"/>
        <w:spacing w:beforeLines="50" w:line="360" w:lineRule="auto"/>
        <w:ind w:firstLine="562" w:firstLineChars="200"/>
        <w:rPr>
          <w:rFonts w:ascii="仿宋_GB2312" w:hAnsi="方正仿宋_GB2312" w:eastAsia="仿宋_GB2312" w:cs="方正仿宋_GB2312"/>
          <w:b/>
          <w:color w:val="000000" w:themeColor="text1"/>
          <w:sz w:val="28"/>
          <w:szCs w:val="28"/>
        </w:rPr>
      </w:pPr>
      <w:r>
        <w:rPr>
          <w:rFonts w:hint="eastAsia" w:ascii="仿宋_GB2312" w:hAnsi="方正仿宋_GB2312" w:eastAsia="仿宋_GB2312" w:cs="方正仿宋_GB2312"/>
          <w:b/>
          <w:color w:val="000000" w:themeColor="text1"/>
          <w:sz w:val="28"/>
          <w:szCs w:val="28"/>
        </w:rPr>
        <w:t>根据《住宅二次供水设施设备运行维护技术规程》（DB11/T118-2016）：</w:t>
      </w:r>
    </w:p>
    <w:p>
      <w:pPr>
        <w:pStyle w:val="47"/>
        <w:snapToGrid w:val="0"/>
        <w:spacing w:after="0" w:line="360" w:lineRule="auto"/>
        <w:ind w:left="0" w:leftChars="0" w:firstLine="56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1</w:t>
      </w:r>
      <w:r>
        <w:rPr>
          <w:rFonts w:ascii="仿宋_GB2312" w:hAnsi="方正仿宋_GB2312" w:eastAsia="仿宋_GB2312" w:cs="方正仿宋_GB2312"/>
          <w:color w:val="000000" w:themeColor="text1"/>
          <w:sz w:val="28"/>
          <w:szCs w:val="28"/>
        </w:rPr>
        <w:t>.</w:t>
      </w:r>
      <w:r>
        <w:rPr>
          <w:rFonts w:hint="eastAsia" w:ascii="仿宋_GB2312" w:hAnsi="方正仿宋_GB2312" w:eastAsia="仿宋_GB2312" w:cs="方正仿宋_GB2312"/>
          <w:color w:val="000000" w:themeColor="text1"/>
          <w:sz w:val="28"/>
          <w:szCs w:val="28"/>
        </w:rPr>
        <w:t>二次供水设施设备应由专业人员，对设施设备的运行、维修保养进行管理。</w:t>
      </w:r>
    </w:p>
    <w:p>
      <w:pPr>
        <w:pStyle w:val="47"/>
        <w:snapToGrid w:val="0"/>
        <w:spacing w:after="0" w:line="360" w:lineRule="auto"/>
        <w:ind w:left="0" w:leftChars="0" w:firstLine="560"/>
        <w:rPr>
          <w:rFonts w:ascii="仿宋_GB2312" w:hAnsi="方正仿宋_GB2312" w:eastAsia="仿宋_GB2312" w:cs="方正仿宋_GB2312"/>
          <w:color w:val="000000" w:themeColor="text1"/>
          <w:sz w:val="28"/>
          <w:szCs w:val="28"/>
        </w:rPr>
      </w:pPr>
      <w:r>
        <w:rPr>
          <w:rFonts w:ascii="仿宋_GB2312" w:hAnsi="方正仿宋_GB2312" w:eastAsia="仿宋_GB2312" w:cs="方正仿宋_GB2312"/>
          <w:color w:val="000000" w:themeColor="text1"/>
          <w:sz w:val="28"/>
          <w:szCs w:val="28"/>
        </w:rPr>
        <w:t>2.</w:t>
      </w:r>
      <w:r>
        <w:rPr>
          <w:rFonts w:hint="eastAsia" w:ascii="仿宋_GB2312" w:hAnsi="方正仿宋_GB2312" w:eastAsia="仿宋_GB2312" w:cs="方正仿宋_GB2312"/>
          <w:color w:val="000000" w:themeColor="text1"/>
          <w:sz w:val="28"/>
          <w:szCs w:val="28"/>
        </w:rPr>
        <w:t>二次供水设施设备应建立健全相关管理制度和操作规程。</w:t>
      </w:r>
    </w:p>
    <w:p>
      <w:pPr>
        <w:pStyle w:val="47"/>
        <w:snapToGrid w:val="0"/>
        <w:spacing w:after="0" w:line="360" w:lineRule="auto"/>
        <w:ind w:left="0" w:leftChars="0" w:firstLine="56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3</w:t>
      </w:r>
      <w:r>
        <w:rPr>
          <w:rFonts w:ascii="仿宋_GB2312" w:hAnsi="方正仿宋_GB2312" w:eastAsia="仿宋_GB2312" w:cs="方正仿宋_GB2312"/>
          <w:color w:val="000000" w:themeColor="text1"/>
          <w:sz w:val="28"/>
          <w:szCs w:val="28"/>
        </w:rPr>
        <w:t>.</w:t>
      </w:r>
      <w:r>
        <w:rPr>
          <w:rFonts w:hint="eastAsia" w:ascii="仿宋_GB2312" w:hAnsi="方正仿宋_GB2312" w:eastAsia="仿宋_GB2312" w:cs="方正仿宋_GB2312"/>
          <w:color w:val="000000" w:themeColor="text1"/>
          <w:sz w:val="28"/>
          <w:szCs w:val="28"/>
        </w:rPr>
        <w:t>二次供水设施设备的管理应建立健全设备日巡检、定期维保、维修、应急处置等过程的相关记录和档案。</w:t>
      </w:r>
    </w:p>
    <w:p>
      <w:pPr>
        <w:pStyle w:val="47"/>
        <w:snapToGrid w:val="0"/>
        <w:spacing w:after="0" w:line="360" w:lineRule="auto"/>
        <w:ind w:left="0" w:leftChars="0" w:firstLine="56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4</w:t>
      </w:r>
      <w:r>
        <w:rPr>
          <w:rFonts w:ascii="仿宋_GB2312" w:hAnsi="方正仿宋_GB2312" w:eastAsia="仿宋_GB2312" w:cs="方正仿宋_GB2312"/>
          <w:color w:val="000000" w:themeColor="text1"/>
          <w:sz w:val="28"/>
          <w:szCs w:val="28"/>
        </w:rPr>
        <w:t>.</w:t>
      </w:r>
      <w:r>
        <w:rPr>
          <w:rFonts w:hint="eastAsia" w:ascii="仿宋_GB2312" w:hAnsi="方正仿宋_GB2312" w:eastAsia="仿宋_GB2312" w:cs="方正仿宋_GB2312"/>
          <w:color w:val="000000" w:themeColor="text1"/>
          <w:sz w:val="28"/>
          <w:szCs w:val="28"/>
        </w:rPr>
        <w:t>二次供水设施设备的管理应制定相应的安全运行应急预案。</w:t>
      </w:r>
    </w:p>
    <w:p>
      <w:pPr>
        <w:pStyle w:val="47"/>
        <w:snapToGrid w:val="0"/>
        <w:spacing w:after="0" w:line="360" w:lineRule="auto"/>
        <w:ind w:left="0" w:leftChars="0" w:firstLine="560"/>
        <w:rPr>
          <w:rFonts w:ascii="仿宋_GB2312" w:hAnsi="方正仿宋_GB2312" w:eastAsia="仿宋_GB2312" w:cs="方正仿宋_GB2312"/>
          <w:color w:val="000000" w:themeColor="text1"/>
          <w:sz w:val="28"/>
          <w:szCs w:val="28"/>
        </w:rPr>
      </w:pPr>
      <w:r>
        <w:rPr>
          <w:rFonts w:ascii="仿宋_GB2312" w:hAnsi="方正仿宋_GB2312" w:eastAsia="仿宋_GB2312" w:cs="方正仿宋_GB2312"/>
          <w:color w:val="000000" w:themeColor="text1"/>
          <w:sz w:val="28"/>
          <w:szCs w:val="28"/>
        </w:rPr>
        <w:t>5.</w:t>
      </w:r>
      <w:r>
        <w:rPr>
          <w:rFonts w:hint="eastAsia" w:ascii="仿宋_GB2312" w:hAnsi="方正仿宋_GB2312" w:eastAsia="仿宋_GB2312" w:cs="方正仿宋_GB2312"/>
          <w:color w:val="000000" w:themeColor="text1"/>
          <w:sz w:val="28"/>
          <w:szCs w:val="28"/>
        </w:rPr>
        <w:t>埋地式生活饮用水储水池周围1</w:t>
      </w:r>
      <w:r>
        <w:rPr>
          <w:rFonts w:ascii="仿宋_GB2312" w:hAnsi="方正仿宋_GB2312" w:eastAsia="仿宋_GB2312" w:cs="方正仿宋_GB2312"/>
          <w:color w:val="000000" w:themeColor="text1"/>
          <w:sz w:val="28"/>
          <w:szCs w:val="28"/>
        </w:rPr>
        <w:t>0</w:t>
      </w:r>
      <w:r>
        <w:rPr>
          <w:rFonts w:hint="eastAsia" w:ascii="仿宋_GB2312" w:hAnsi="方正仿宋_GB2312" w:eastAsia="仿宋_GB2312" w:cs="方正仿宋_GB2312"/>
          <w:color w:val="000000" w:themeColor="text1"/>
          <w:sz w:val="28"/>
          <w:szCs w:val="28"/>
        </w:rPr>
        <w:t>米以内严禁有垃圾堆放点等污染源；周围2米以内严禁有污染物。</w:t>
      </w:r>
    </w:p>
    <w:p>
      <w:pPr>
        <w:pStyle w:val="47"/>
        <w:snapToGrid w:val="0"/>
        <w:spacing w:after="0" w:line="360" w:lineRule="auto"/>
        <w:ind w:left="0" w:leftChars="0" w:firstLine="56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6</w:t>
      </w:r>
      <w:r>
        <w:rPr>
          <w:rFonts w:ascii="仿宋_GB2312" w:hAnsi="方正仿宋_GB2312" w:eastAsia="仿宋_GB2312" w:cs="方正仿宋_GB2312"/>
          <w:color w:val="000000" w:themeColor="text1"/>
          <w:sz w:val="28"/>
          <w:szCs w:val="28"/>
        </w:rPr>
        <w:t>.</w:t>
      </w:r>
      <w:r>
        <w:rPr>
          <w:rFonts w:hint="eastAsia" w:ascii="仿宋_GB2312" w:hAnsi="方正仿宋_GB2312" w:eastAsia="仿宋_GB2312" w:cs="方正仿宋_GB2312"/>
          <w:color w:val="000000" w:themeColor="text1"/>
          <w:sz w:val="28"/>
          <w:szCs w:val="28"/>
        </w:rPr>
        <w:t>二次供水设施设备在运行、定期维保、维修、应急处置时均不得与非饮用水管道连接。</w:t>
      </w:r>
    </w:p>
    <w:p>
      <w:pPr>
        <w:pStyle w:val="47"/>
        <w:snapToGrid w:val="0"/>
        <w:spacing w:after="0" w:line="360" w:lineRule="auto"/>
        <w:ind w:left="0" w:leftChars="0" w:firstLine="56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关于二次供水设施设备的资料管理、运行管理、人员管理、安全管理的相关要求具体参见</w:t>
      </w:r>
      <w:r>
        <w:rPr>
          <w:rFonts w:hint="eastAsia" w:ascii="仿宋_GB2312" w:hAnsi="仿宋" w:eastAsia="仿宋_GB2312"/>
          <w:color w:val="000000" w:themeColor="text1"/>
          <w:sz w:val="28"/>
          <w:szCs w:val="32"/>
        </w:rPr>
        <w:t>《住宅二次供水设施设备运行维护技术规程》（DB11/T118-2016）。</w:t>
      </w:r>
    </w:p>
    <w:p>
      <w:pPr>
        <w:spacing w:line="360" w:lineRule="auto"/>
        <w:ind w:firstLine="562" w:firstLineChars="200"/>
        <w:rPr>
          <w:rFonts w:ascii="仿宋_GB2312" w:hAnsi="仿宋" w:eastAsia="仿宋_GB2312" w:cs="仿宋"/>
          <w:b/>
          <w:color w:val="000000" w:themeColor="text1"/>
          <w:sz w:val="40"/>
          <w:szCs w:val="28"/>
        </w:rPr>
      </w:pPr>
      <w:r>
        <w:rPr>
          <w:rFonts w:hint="eastAsia" w:ascii="仿宋_GB2312" w:eastAsia="仿宋_GB2312"/>
          <w:b/>
          <w:color w:val="000000" w:themeColor="text1"/>
          <w:sz w:val="28"/>
        </w:rPr>
        <w:t>风险提示</w:t>
      </w:r>
    </w:p>
    <w:p>
      <w:pPr>
        <w:snapToGrid w:val="0"/>
        <w:spacing w:beforeLines="50" w:line="360" w:lineRule="auto"/>
        <w:ind w:firstLine="562" w:firstLineChars="200"/>
        <w:rPr>
          <w:rFonts w:ascii="仿宋_GB2312" w:hAnsi="方正仿宋_GB2312" w:eastAsia="仿宋_GB2312" w:cs="方正仿宋_GB2312"/>
          <w:b/>
          <w:color w:val="000000" w:themeColor="text1"/>
          <w:sz w:val="28"/>
          <w:szCs w:val="28"/>
        </w:rPr>
      </w:pPr>
      <w:bookmarkStart w:id="49" w:name="_Toc860611770"/>
      <w:r>
        <w:rPr>
          <w:rFonts w:hint="eastAsia" w:ascii="仿宋_GB2312" w:hAnsi="方正仿宋_GB2312" w:eastAsia="仿宋_GB2312" w:cs="方正仿宋_GB2312"/>
          <w:b/>
          <w:color w:val="000000" w:themeColor="text1"/>
          <w:sz w:val="28"/>
          <w:szCs w:val="28"/>
        </w:rPr>
        <w:t>根据《生活饮用水卫生监督管理办法》：</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违反本办法规定，有下列情形之一的，县级以上地方人民政府卫生行政部门应当责令限期改进，并可处以20元以上5000元以下的罚款：</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(三)供水单位未取得卫生许可证而擅自供水的；</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(四)供水单位供应的饮用水不符合国家规定的生活饮用水卫生标准的；</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(五)未取得卫生行政部门的卫生许可擅自从事二次供水设施清洗消毒工作的。</w:t>
      </w:r>
    </w:p>
    <w:p>
      <w:pPr>
        <w:snapToGrid w:val="0"/>
        <w:spacing w:beforeLines="50" w:line="360" w:lineRule="auto"/>
        <w:ind w:firstLine="562" w:firstLineChars="200"/>
        <w:rPr>
          <w:rFonts w:ascii="仿宋_GB2312" w:hAnsi="方正仿宋_GB2312" w:eastAsia="仿宋_GB2312" w:cs="方正仿宋_GB2312"/>
          <w:b/>
          <w:color w:val="000000" w:themeColor="text1"/>
          <w:sz w:val="28"/>
          <w:szCs w:val="28"/>
        </w:rPr>
      </w:pPr>
      <w:r>
        <w:rPr>
          <w:rFonts w:hint="eastAsia" w:ascii="仿宋_GB2312" w:hAnsi="方正仿宋_GB2312" w:eastAsia="仿宋_GB2312" w:cs="方正仿宋_GB2312"/>
          <w:b/>
          <w:color w:val="000000" w:themeColor="text1"/>
          <w:sz w:val="28"/>
          <w:szCs w:val="28"/>
        </w:rPr>
        <w:t>根据《北京市城市公共供水管理办法》（</w:t>
      </w:r>
      <w:r>
        <w:rPr>
          <w:rFonts w:ascii="仿宋_GB2312" w:hAnsi="方正仿宋_GB2312" w:eastAsia="仿宋_GB2312" w:cs="方正仿宋_GB2312"/>
          <w:b/>
          <w:color w:val="000000" w:themeColor="text1"/>
          <w:sz w:val="28"/>
          <w:szCs w:val="28"/>
        </w:rPr>
        <w:t>北京市人民政府</w:t>
      </w:r>
      <w:r>
        <w:rPr>
          <w:rFonts w:hint="eastAsia" w:ascii="仿宋_GB2312" w:hAnsi="方正仿宋_GB2312" w:eastAsia="仿宋_GB2312" w:cs="方正仿宋_GB2312"/>
          <w:b/>
          <w:color w:val="000000" w:themeColor="text1"/>
          <w:sz w:val="28"/>
          <w:szCs w:val="28"/>
        </w:rPr>
        <w:t>令</w:t>
      </w:r>
      <w:r>
        <w:rPr>
          <w:rFonts w:ascii="仿宋_GB2312" w:hAnsi="方正仿宋_GB2312" w:eastAsia="仿宋_GB2312" w:cs="方正仿宋_GB2312"/>
          <w:b/>
          <w:color w:val="000000" w:themeColor="text1"/>
          <w:sz w:val="28"/>
          <w:szCs w:val="28"/>
        </w:rPr>
        <w:t>第22号</w:t>
      </w:r>
      <w:r>
        <w:rPr>
          <w:rFonts w:hint="eastAsia" w:ascii="仿宋_GB2312" w:hAnsi="方正仿宋_GB2312" w:eastAsia="仿宋_GB2312" w:cs="方正仿宋_GB2312"/>
          <w:b/>
          <w:color w:val="000000" w:themeColor="text1"/>
          <w:sz w:val="28"/>
          <w:szCs w:val="28"/>
        </w:rPr>
        <w:t>）：</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擅自拆卸、挪动公共供水设施，或除紧急需要擅自动用消火栓的，责令恢复原状，处责任单位1000元以下罚款。</w:t>
      </w:r>
    </w:p>
    <w:p>
      <w:pPr>
        <w:pStyle w:val="4"/>
        <w:spacing w:before="312" w:after="312"/>
        <w:rPr>
          <w:color w:val="000000" w:themeColor="text1"/>
        </w:rPr>
      </w:pPr>
      <w:bookmarkStart w:id="50" w:name="_Toc150435233"/>
      <w:r>
        <w:rPr>
          <w:rFonts w:hint="eastAsia"/>
          <w:color w:val="000000" w:themeColor="text1"/>
        </w:rPr>
        <w:t>（五）排水系统检修养护合规指南</w:t>
      </w:r>
      <w:bookmarkEnd w:id="49"/>
      <w:bookmarkEnd w:id="50"/>
    </w:p>
    <w:p>
      <w:pPr>
        <w:ind w:firstLine="562" w:firstLineChars="200"/>
        <w:rPr>
          <w:rFonts w:ascii="仿宋_GB2312" w:hAnsi="方正仿宋_GB2312" w:eastAsia="仿宋_GB2312" w:cs="方正仿宋_GB2312"/>
          <w:color w:val="000000" w:themeColor="text1"/>
          <w:sz w:val="28"/>
          <w:szCs w:val="28"/>
        </w:rPr>
      </w:pPr>
      <w:r>
        <w:rPr>
          <w:rFonts w:hint="eastAsia" w:ascii="仿宋_GB2312" w:hAnsi="仿宋" w:eastAsia="仿宋_GB2312" w:cs="Times New Roman"/>
          <w:b/>
          <w:color w:val="000000" w:themeColor="text1"/>
          <w:sz w:val="28"/>
          <w:szCs w:val="32"/>
        </w:rPr>
        <w:t>根据《住宅物业服务标准》</w:t>
      </w:r>
      <w:r>
        <w:rPr>
          <w:rFonts w:hint="eastAsia" w:ascii="仿宋_GB2312" w:hAnsi="方正仿宋_GB2312" w:eastAsia="仿宋_GB2312" w:cs="方正仿宋_GB2312"/>
          <w:color w:val="000000" w:themeColor="text1"/>
          <w:sz w:val="28"/>
          <w:szCs w:val="28"/>
        </w:rPr>
        <w:t>：</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1.排水设施</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（1）每年上汛前对雨、污水井、屋面雨水口等设施进行检查，组织清理、疏通。排水、排污管道应通畅，无堵塞外溢现象。（一至五级）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（2）每次降雨前后对主要排水口、管井进行检查。（三至四级）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每次降雨前后及过程中对主要排水口、管井进行检查。（五级）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2.污水泵</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汛期每半月巡视不少于1次，平时每季巡视1次，检查设备运行状态；每年养护1次。（一级）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汛期每周巡视1次，平时每月巡视1次，检查设备运行状态；每月进行1次手动启动测试；每年养护1次。（二级）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汛期每周巡视3次，出现雨情时每天不低于2次巡视，平时每周巡视1次，检查设备运行状态；每2周进行1次手动启动测试；每年养护不低于1次。（三级）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汛期每日巡视1次，出现雨情时每日不低于2次巡视，平时每周巡视1次，检查设备运行状态；每2周进行1次手动启动测试；每季度养护1次。（四至五级）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3.化粪池</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视小区入住情况和化粪池满溢度进行清掏，清掏维护周期每年不少于1次。（一级）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每半年检查1次化粪池；组织安排清掏。（二至三级）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每季度检查1次化粪池；每半年安排清掏1次。（四级）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每月检查1次化粪池；每半年安排清掏不少于1次。（五级）</w:t>
      </w:r>
    </w:p>
    <w:p>
      <w:pPr>
        <w:snapToGrid w:val="0"/>
        <w:spacing w:beforeLines="50" w:line="360" w:lineRule="auto"/>
        <w:ind w:firstLine="562" w:firstLineChars="200"/>
        <w:rPr>
          <w:rFonts w:ascii="仿宋_GB2312" w:hAnsi="方正仿宋_GB2312" w:eastAsia="仿宋_GB2312" w:cs="方正仿宋_GB2312"/>
          <w:b/>
          <w:color w:val="000000" w:themeColor="text1"/>
          <w:sz w:val="28"/>
          <w:szCs w:val="28"/>
        </w:rPr>
      </w:pPr>
      <w:r>
        <w:rPr>
          <w:rFonts w:hint="eastAsia" w:ascii="仿宋_GB2312" w:hAnsi="方正仿宋_GB2312" w:eastAsia="仿宋_GB2312" w:cs="方正仿宋_GB2312"/>
          <w:b/>
          <w:color w:val="000000" w:themeColor="text1"/>
          <w:sz w:val="28"/>
          <w:szCs w:val="28"/>
        </w:rPr>
        <w:t>根据《城镇污水排入排水管网许可管理办法》（</w:t>
      </w:r>
      <w:r>
        <w:rPr>
          <w:rFonts w:ascii="仿宋_GB2312" w:hAnsi="方正仿宋_GB2312" w:eastAsia="仿宋_GB2312" w:cs="方正仿宋_GB2312"/>
          <w:b/>
          <w:color w:val="000000" w:themeColor="text1"/>
          <w:sz w:val="28"/>
          <w:szCs w:val="28"/>
        </w:rPr>
        <w:t>住房和城乡建设部令第21号</w:t>
      </w:r>
      <w:r>
        <w:rPr>
          <w:rFonts w:hint="eastAsia" w:ascii="仿宋_GB2312" w:hAnsi="方正仿宋_GB2312" w:eastAsia="仿宋_GB2312" w:cs="方正仿宋_GB2312"/>
          <w:b/>
          <w:color w:val="000000" w:themeColor="text1"/>
          <w:sz w:val="28"/>
          <w:szCs w:val="28"/>
        </w:rPr>
        <w:t>）：</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1</w:t>
      </w:r>
      <w:r>
        <w:rPr>
          <w:rFonts w:ascii="仿宋_GB2312" w:hAnsi="方正仿宋_GB2312" w:eastAsia="仿宋_GB2312" w:cs="方正仿宋_GB2312"/>
          <w:color w:val="000000" w:themeColor="text1"/>
          <w:sz w:val="28"/>
          <w:szCs w:val="28"/>
        </w:rPr>
        <w:t>.排水户向排水行为发生地的城镇排水主管部门申请领取排水许可证。城镇排水主管部门应当自受理申请之日起15日内作出决定。</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ascii="仿宋_GB2312" w:hAnsi="方正仿宋_GB2312" w:eastAsia="仿宋_GB2312" w:cs="方正仿宋_GB2312"/>
          <w:color w:val="000000" w:themeColor="text1"/>
          <w:sz w:val="28"/>
          <w:szCs w:val="28"/>
        </w:rPr>
        <w:t>集中管理的建筑或者单位内有多个排水户的，可以由产权单位或者其委托的物业服务人统一申请领取排水许可证，并由领证单位对排水户的排水行为负责。</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ascii="仿宋_GB2312" w:hAnsi="方正仿宋_GB2312" w:eastAsia="仿宋_GB2312" w:cs="方正仿宋_GB2312"/>
          <w:color w:val="000000" w:themeColor="text1"/>
          <w:sz w:val="28"/>
          <w:szCs w:val="28"/>
        </w:rPr>
        <w:t>因施工作业需要向城镇排水设施排入污水的，由建设单位申请领取排水许可证。</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2</w:t>
      </w:r>
      <w:r>
        <w:rPr>
          <w:rFonts w:ascii="仿宋_GB2312" w:hAnsi="方正仿宋_GB2312" w:eastAsia="仿宋_GB2312" w:cs="方正仿宋_GB2312"/>
          <w:color w:val="000000" w:themeColor="text1"/>
          <w:sz w:val="28"/>
          <w:szCs w:val="28"/>
        </w:rPr>
        <w:t>.排水许可证的有效期为5年。</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ascii="仿宋_GB2312" w:hAnsi="方正仿宋_GB2312" w:eastAsia="仿宋_GB2312" w:cs="方正仿宋_GB2312"/>
          <w:color w:val="000000" w:themeColor="text1"/>
          <w:sz w:val="28"/>
          <w:szCs w:val="28"/>
        </w:rPr>
        <w:t>因施工作业需要向城镇排水设施排水的，排水许可证的有效期，由城镇排水主管部门根据排水状况确定，但不得超过施工期限。</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3</w:t>
      </w:r>
      <w:r>
        <w:rPr>
          <w:rFonts w:ascii="仿宋_GB2312" w:hAnsi="方正仿宋_GB2312" w:eastAsia="仿宋_GB2312" w:cs="方正仿宋_GB2312"/>
          <w:color w:val="000000" w:themeColor="text1"/>
          <w:sz w:val="28"/>
          <w:szCs w:val="28"/>
        </w:rPr>
        <w:t>.排水户不得有下列危及城镇排水设施安全的活动：</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ascii="仿宋_GB2312" w:hAnsi="方正仿宋_GB2312" w:eastAsia="仿宋_GB2312" w:cs="方正仿宋_GB2312"/>
          <w:color w:val="000000" w:themeColor="text1"/>
          <w:sz w:val="28"/>
          <w:szCs w:val="28"/>
        </w:rPr>
        <w:t>（</w:t>
      </w:r>
      <w:r>
        <w:rPr>
          <w:rFonts w:hint="eastAsia" w:ascii="仿宋_GB2312" w:hAnsi="方正仿宋_GB2312" w:eastAsia="仿宋_GB2312" w:cs="方正仿宋_GB2312"/>
          <w:color w:val="000000" w:themeColor="text1"/>
          <w:sz w:val="28"/>
          <w:szCs w:val="28"/>
        </w:rPr>
        <w:t>1</w:t>
      </w:r>
      <w:r>
        <w:rPr>
          <w:rFonts w:ascii="仿宋_GB2312" w:hAnsi="方正仿宋_GB2312" w:eastAsia="仿宋_GB2312" w:cs="方正仿宋_GB2312"/>
          <w:color w:val="000000" w:themeColor="text1"/>
          <w:sz w:val="28"/>
          <w:szCs w:val="28"/>
        </w:rPr>
        <w:t>）向城镇排水设施排放、倾倒剧毒、易燃易爆、腐蚀性废液和废渣；</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ascii="仿宋_GB2312" w:hAnsi="方正仿宋_GB2312" w:eastAsia="仿宋_GB2312" w:cs="方正仿宋_GB2312"/>
          <w:color w:val="000000" w:themeColor="text1"/>
          <w:sz w:val="28"/>
          <w:szCs w:val="28"/>
        </w:rPr>
        <w:t>（</w:t>
      </w:r>
      <w:r>
        <w:rPr>
          <w:rFonts w:hint="eastAsia" w:ascii="仿宋_GB2312" w:hAnsi="方正仿宋_GB2312" w:eastAsia="仿宋_GB2312" w:cs="方正仿宋_GB2312"/>
          <w:color w:val="000000" w:themeColor="text1"/>
          <w:sz w:val="28"/>
          <w:szCs w:val="28"/>
        </w:rPr>
        <w:t>2</w:t>
      </w:r>
      <w:r>
        <w:rPr>
          <w:rFonts w:ascii="仿宋_GB2312" w:hAnsi="方正仿宋_GB2312" w:eastAsia="仿宋_GB2312" w:cs="方正仿宋_GB2312"/>
          <w:color w:val="000000" w:themeColor="text1"/>
          <w:sz w:val="28"/>
          <w:szCs w:val="28"/>
        </w:rPr>
        <w:t>）向城镇排水设施排放有害气体和烹饪油烟；</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ascii="仿宋_GB2312" w:hAnsi="方正仿宋_GB2312" w:eastAsia="仿宋_GB2312" w:cs="方正仿宋_GB2312"/>
          <w:color w:val="000000" w:themeColor="text1"/>
          <w:sz w:val="28"/>
          <w:szCs w:val="28"/>
        </w:rPr>
        <w:t>（</w:t>
      </w:r>
      <w:r>
        <w:rPr>
          <w:rFonts w:hint="eastAsia" w:ascii="仿宋_GB2312" w:hAnsi="方正仿宋_GB2312" w:eastAsia="仿宋_GB2312" w:cs="方正仿宋_GB2312"/>
          <w:color w:val="000000" w:themeColor="text1"/>
          <w:sz w:val="28"/>
          <w:szCs w:val="28"/>
        </w:rPr>
        <w:t>3</w:t>
      </w:r>
      <w:r>
        <w:rPr>
          <w:rFonts w:ascii="仿宋_GB2312" w:hAnsi="方正仿宋_GB2312" w:eastAsia="仿宋_GB2312" w:cs="方正仿宋_GB2312"/>
          <w:color w:val="000000" w:themeColor="text1"/>
          <w:sz w:val="28"/>
          <w:szCs w:val="28"/>
        </w:rPr>
        <w:t>）堵塞城镇排水设施或者向城镇排水设施内排放、倾倒垃圾、渣土、施工泥浆、油脂、污泥等易堵塞物；</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ascii="仿宋_GB2312" w:hAnsi="方正仿宋_GB2312" w:eastAsia="仿宋_GB2312" w:cs="方正仿宋_GB2312"/>
          <w:color w:val="000000" w:themeColor="text1"/>
          <w:sz w:val="28"/>
          <w:szCs w:val="28"/>
        </w:rPr>
        <w:t>（</w:t>
      </w:r>
      <w:r>
        <w:rPr>
          <w:rFonts w:hint="eastAsia" w:ascii="仿宋_GB2312" w:hAnsi="方正仿宋_GB2312" w:eastAsia="仿宋_GB2312" w:cs="方正仿宋_GB2312"/>
          <w:color w:val="000000" w:themeColor="text1"/>
          <w:sz w:val="28"/>
          <w:szCs w:val="28"/>
        </w:rPr>
        <w:t>4</w:t>
      </w:r>
      <w:r>
        <w:rPr>
          <w:rFonts w:ascii="仿宋_GB2312" w:hAnsi="方正仿宋_GB2312" w:eastAsia="仿宋_GB2312" w:cs="方正仿宋_GB2312"/>
          <w:color w:val="000000" w:themeColor="text1"/>
          <w:sz w:val="28"/>
          <w:szCs w:val="28"/>
        </w:rPr>
        <w:t>）擅自拆卸、移动、穿凿和接入城镇排水设施；</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ascii="仿宋_GB2312" w:hAnsi="方正仿宋_GB2312" w:eastAsia="仿宋_GB2312" w:cs="方正仿宋_GB2312"/>
          <w:color w:val="000000" w:themeColor="text1"/>
          <w:sz w:val="28"/>
          <w:szCs w:val="28"/>
        </w:rPr>
        <w:t>（</w:t>
      </w:r>
      <w:r>
        <w:rPr>
          <w:rFonts w:hint="eastAsia" w:ascii="仿宋_GB2312" w:hAnsi="方正仿宋_GB2312" w:eastAsia="仿宋_GB2312" w:cs="方正仿宋_GB2312"/>
          <w:color w:val="000000" w:themeColor="text1"/>
          <w:sz w:val="28"/>
          <w:szCs w:val="28"/>
        </w:rPr>
        <w:t>5</w:t>
      </w:r>
      <w:r>
        <w:rPr>
          <w:rFonts w:ascii="仿宋_GB2312" w:hAnsi="方正仿宋_GB2312" w:eastAsia="仿宋_GB2312" w:cs="方正仿宋_GB2312"/>
          <w:color w:val="000000" w:themeColor="text1"/>
          <w:sz w:val="28"/>
          <w:szCs w:val="28"/>
        </w:rPr>
        <w:t>）擅自向城镇排水设施加压排放污水；</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ascii="仿宋_GB2312" w:hAnsi="方正仿宋_GB2312" w:eastAsia="仿宋_GB2312" w:cs="方正仿宋_GB2312"/>
          <w:color w:val="000000" w:themeColor="text1"/>
          <w:sz w:val="28"/>
          <w:szCs w:val="28"/>
        </w:rPr>
        <w:t>（</w:t>
      </w:r>
      <w:r>
        <w:rPr>
          <w:rFonts w:hint="eastAsia" w:ascii="仿宋_GB2312" w:hAnsi="方正仿宋_GB2312" w:eastAsia="仿宋_GB2312" w:cs="方正仿宋_GB2312"/>
          <w:color w:val="000000" w:themeColor="text1"/>
          <w:sz w:val="28"/>
          <w:szCs w:val="28"/>
        </w:rPr>
        <w:t>6</w:t>
      </w:r>
      <w:r>
        <w:rPr>
          <w:rFonts w:ascii="仿宋_GB2312" w:hAnsi="方正仿宋_GB2312" w:eastAsia="仿宋_GB2312" w:cs="方正仿宋_GB2312"/>
          <w:color w:val="000000" w:themeColor="text1"/>
          <w:sz w:val="28"/>
          <w:szCs w:val="28"/>
        </w:rPr>
        <w:t>）其他危及城镇排水与污水处理设施安全的活动。</w:t>
      </w:r>
    </w:p>
    <w:p>
      <w:pPr>
        <w:snapToGrid w:val="0"/>
        <w:spacing w:beforeLines="50" w:line="360" w:lineRule="auto"/>
        <w:ind w:firstLine="562" w:firstLineChars="200"/>
        <w:rPr>
          <w:rFonts w:ascii="仿宋_GB2312" w:hAnsi="仿宋" w:eastAsia="仿宋_GB2312" w:cs="仿宋"/>
          <w:b/>
          <w:color w:val="000000" w:themeColor="text1"/>
          <w:sz w:val="40"/>
          <w:szCs w:val="28"/>
        </w:rPr>
      </w:pPr>
      <w:r>
        <w:rPr>
          <w:rFonts w:hint="eastAsia" w:ascii="仿宋_GB2312" w:eastAsia="仿宋_GB2312"/>
          <w:b/>
          <w:color w:val="000000" w:themeColor="text1"/>
          <w:sz w:val="28"/>
        </w:rPr>
        <w:t>风险提示</w:t>
      </w:r>
    </w:p>
    <w:p>
      <w:pPr>
        <w:snapToGrid w:val="0"/>
        <w:spacing w:beforeLines="50" w:line="360" w:lineRule="auto"/>
        <w:ind w:firstLine="562" w:firstLineChars="200"/>
        <w:rPr>
          <w:rFonts w:ascii="仿宋_GB2312" w:eastAsia="仿宋_GB2312"/>
          <w:b/>
          <w:color w:val="000000" w:themeColor="text1"/>
          <w:sz w:val="28"/>
        </w:rPr>
      </w:pPr>
      <w:r>
        <w:rPr>
          <w:rFonts w:hint="eastAsia" w:ascii="仿宋_GB2312" w:eastAsia="仿宋_GB2312"/>
          <w:b/>
          <w:color w:val="000000" w:themeColor="text1"/>
          <w:sz w:val="28"/>
        </w:rPr>
        <w:t>根据《城镇排水与污水处理条例》（中华人民共和国国务院令</w:t>
      </w:r>
      <w:r>
        <w:rPr>
          <w:rFonts w:ascii="仿宋_GB2312" w:eastAsia="仿宋_GB2312"/>
          <w:b/>
          <w:color w:val="000000" w:themeColor="text1"/>
          <w:sz w:val="28"/>
        </w:rPr>
        <w:t>第641号</w:t>
      </w:r>
      <w:r>
        <w:rPr>
          <w:rFonts w:hint="eastAsia" w:ascii="仿宋_GB2312" w:eastAsia="仿宋_GB2312"/>
          <w:b/>
          <w:color w:val="000000" w:themeColor="text1"/>
          <w:sz w:val="28"/>
        </w:rPr>
        <w:t>）：</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排水户未取得污水排入排水管网许可证向城镇排水设施排放污水的，由城镇排水主管部门责令停止违法行为，限期采取治理措施，补办污水排入排水管网许可证，可以处50万元以下罚款；造成损失的，依法承担赔偿责任；构成犯罪的，依法追究刑事责任。</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排水户不按照污水排入排水管网许可证的要求排放污水的，由城镇排水主管部门责令停止违法行为，限期改正，可以处5万元以下罚款；造成严重后果的，吊销污水排入排水管网许可证，并处5万元以上50万元以下罚款，可以向社会予以通报；造成损失的，依法承担赔偿责任；构成犯罪的，依法追究刑事责任。</w:t>
      </w:r>
    </w:p>
    <w:p>
      <w:pPr>
        <w:snapToGrid w:val="0"/>
        <w:spacing w:beforeLines="50" w:line="360" w:lineRule="auto"/>
        <w:ind w:firstLine="562" w:firstLineChars="200"/>
        <w:rPr>
          <w:rFonts w:ascii="仿宋_GB2312" w:eastAsia="仿宋_GB2312"/>
          <w:b/>
          <w:color w:val="000000" w:themeColor="text1"/>
          <w:sz w:val="28"/>
        </w:rPr>
      </w:pPr>
      <w:r>
        <w:rPr>
          <w:rFonts w:hint="eastAsia" w:ascii="仿宋_GB2312" w:eastAsia="仿宋_GB2312"/>
          <w:b/>
          <w:color w:val="000000" w:themeColor="text1"/>
          <w:sz w:val="28"/>
        </w:rPr>
        <w:t>根据《城镇污水排入排水管网许可管理办法》：</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排水户违反本办法规定，拒不接受水质、水量监测或者妨碍、阻挠城镇排水主管部门依法监督检查的，由城镇排水主管部门给予警告；情节严重的，处3万元以下罚款。</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ascii="仿宋_GB2312" w:hAnsi="方正仿宋_GB2312" w:eastAsia="仿宋_GB2312" w:cs="方正仿宋_GB2312"/>
          <w:color w:val="000000" w:themeColor="text1"/>
          <w:sz w:val="28"/>
          <w:szCs w:val="28"/>
        </w:rPr>
        <w:t>排水户名称、法定代表人等其他事项变更，未按本办法规定及时向城镇排水主管部门申请办理变更的，由城镇排水主管部门责令改正，可以处1万元以下罚款。</w:t>
      </w:r>
    </w:p>
    <w:p>
      <w:pPr>
        <w:pStyle w:val="47"/>
        <w:snapToGrid w:val="0"/>
        <w:spacing w:after="0" w:line="360" w:lineRule="auto"/>
        <w:ind w:left="0" w:leftChars="0" w:firstLine="560"/>
        <w:rPr>
          <w:rFonts w:ascii="仿宋_GB2312" w:hAnsi="方正仿宋_GB2312" w:eastAsia="仿宋_GB2312" w:cs="方正仿宋_GB2312"/>
          <w:color w:val="000000" w:themeColor="text1"/>
          <w:sz w:val="28"/>
          <w:szCs w:val="28"/>
        </w:rPr>
      </w:pPr>
      <w:r>
        <w:rPr>
          <w:rFonts w:ascii="仿宋_GB2312" w:hAnsi="方正仿宋_GB2312" w:eastAsia="仿宋_GB2312" w:cs="方正仿宋_GB2312"/>
          <w:color w:val="000000" w:themeColor="text1"/>
          <w:sz w:val="28"/>
          <w:szCs w:val="28"/>
        </w:rPr>
        <w:t>排水户名称、法定代表人等其他事项变更，未按本办法规定及时向城镇排水主管部门申请办理变更的，由城镇排水主管部门责令改正，可以处1万元以下罚款。</w:t>
      </w:r>
    </w:p>
    <w:p>
      <w:pPr>
        <w:snapToGrid w:val="0"/>
        <w:spacing w:beforeLines="50" w:line="360" w:lineRule="auto"/>
        <w:ind w:firstLine="562" w:firstLineChars="200"/>
        <w:rPr>
          <w:rFonts w:ascii="仿宋_GB2312" w:eastAsia="仿宋_GB2312"/>
          <w:b/>
          <w:color w:val="000000" w:themeColor="text1"/>
          <w:sz w:val="28"/>
        </w:rPr>
      </w:pPr>
      <w:r>
        <w:rPr>
          <w:rFonts w:hint="eastAsia" w:ascii="仿宋_GB2312" w:eastAsia="仿宋_GB2312"/>
          <w:b/>
          <w:color w:val="000000" w:themeColor="text1"/>
          <w:sz w:val="28"/>
        </w:rPr>
        <w:t>根据《北京市市容环境卫生条例》：</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对厕所的粪便应当排入污水处理系统或者贮（化）粪池。</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城镇地区内负有清掏粪便责任的单位应当及时清掏，对清掏的粪便密闭运输，并倾倒在指定的消纳场所。</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违反第一款、第二款规定的，责令改正，并处1000元以上2000元以下罚款；其中违反第二款规定，随意倾倒粪便的，处5000元以上5万元以下罚款。</w:t>
      </w:r>
    </w:p>
    <w:p>
      <w:pPr>
        <w:widowControl/>
        <w:jc w:val="left"/>
        <w:rPr>
          <w:rFonts w:ascii="仿宋_GB2312" w:hAnsi="Arial" w:eastAsia="仿宋_GB2312"/>
          <w:b/>
          <w:color w:val="000000" w:themeColor="text1"/>
          <w:sz w:val="32"/>
          <w:szCs w:val="32"/>
        </w:rPr>
      </w:pPr>
      <w:bookmarkStart w:id="51" w:name="_Toc999655845"/>
      <w:r>
        <w:rPr>
          <w:color w:val="000000" w:themeColor="text1"/>
        </w:rPr>
        <w:br w:type="page"/>
      </w:r>
    </w:p>
    <w:p>
      <w:pPr>
        <w:pStyle w:val="47"/>
        <w:ind w:firstLine="640"/>
        <w:rPr>
          <w:color w:val="000000" w:themeColor="text1"/>
          <w:sz w:val="32"/>
        </w:rPr>
      </w:pPr>
    </w:p>
    <w:p>
      <w:pPr>
        <w:pStyle w:val="4"/>
        <w:spacing w:before="312" w:after="312"/>
        <w:rPr>
          <w:color w:val="000000" w:themeColor="text1"/>
        </w:rPr>
      </w:pPr>
      <w:bookmarkStart w:id="52" w:name="_Toc150435234"/>
      <w:r>
        <w:rPr>
          <w:rFonts w:hint="eastAsia"/>
          <w:color w:val="000000" w:themeColor="text1"/>
        </w:rPr>
        <w:t>（六）照明和电气设备检修养护合规指南</w:t>
      </w:r>
      <w:bookmarkEnd w:id="51"/>
      <w:bookmarkEnd w:id="52"/>
    </w:p>
    <w:p>
      <w:pPr>
        <w:pStyle w:val="48"/>
        <w:rPr>
          <w:rFonts w:ascii="仿宋_GB2312" w:hAnsi="方正仿宋_GB2312" w:eastAsia="仿宋_GB2312" w:cs="方正仿宋_GB2312"/>
          <w:b/>
          <w:color w:val="000000" w:themeColor="text1"/>
          <w:sz w:val="28"/>
          <w:szCs w:val="28"/>
        </w:rPr>
      </w:pPr>
      <w:r>
        <w:rPr>
          <w:rFonts w:hint="eastAsia" w:ascii="仿宋_GB2312" w:hAnsi="方正仿宋_GB2312" w:eastAsia="仿宋_GB2312" w:cs="方正仿宋_GB2312"/>
          <w:b/>
          <w:color w:val="000000" w:themeColor="text1"/>
          <w:sz w:val="28"/>
          <w:szCs w:val="28"/>
        </w:rPr>
        <w:t>根据《配电室安全管理规范》（DB11/T527-2021）：</w:t>
      </w:r>
    </w:p>
    <w:p>
      <w:pPr>
        <w:snapToGrid w:val="0"/>
        <w:spacing w:line="360" w:lineRule="auto"/>
        <w:ind w:left="-220"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1</w:t>
      </w:r>
      <w:r>
        <w:rPr>
          <w:rFonts w:ascii="仿宋_GB2312" w:hAnsi="方正仿宋_GB2312" w:eastAsia="仿宋_GB2312" w:cs="方正仿宋_GB2312"/>
          <w:color w:val="000000" w:themeColor="text1"/>
          <w:sz w:val="28"/>
          <w:szCs w:val="28"/>
        </w:rPr>
        <w:t>.</w:t>
      </w:r>
      <w:r>
        <w:rPr>
          <w:rFonts w:hint="eastAsia" w:ascii="仿宋_GB2312" w:hAnsi="方正仿宋_GB2312" w:eastAsia="仿宋_GB2312" w:cs="方正仿宋_GB2312"/>
          <w:color w:val="000000" w:themeColor="text1"/>
          <w:sz w:val="28"/>
          <w:szCs w:val="28"/>
        </w:rPr>
        <w:t>应建立、健全配电室安全生产岗位责任制、各项运行管理制度和安全操作规程，主要内容上墙明示。</w:t>
      </w:r>
    </w:p>
    <w:p>
      <w:pPr>
        <w:snapToGrid w:val="0"/>
        <w:spacing w:line="360" w:lineRule="auto"/>
        <w:ind w:left="-220"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2</w:t>
      </w:r>
      <w:r>
        <w:rPr>
          <w:rFonts w:ascii="仿宋_GB2312" w:hAnsi="方正仿宋_GB2312" w:eastAsia="仿宋_GB2312" w:cs="方正仿宋_GB2312"/>
          <w:color w:val="000000" w:themeColor="text1"/>
          <w:sz w:val="28"/>
          <w:szCs w:val="28"/>
        </w:rPr>
        <w:t>.</w:t>
      </w:r>
      <w:r>
        <w:rPr>
          <w:rFonts w:hint="eastAsia" w:ascii="仿宋_GB2312" w:hAnsi="方正仿宋_GB2312" w:eastAsia="仿宋_GB2312" w:cs="方正仿宋_GB2312"/>
          <w:color w:val="000000" w:themeColor="text1"/>
          <w:sz w:val="28"/>
          <w:szCs w:val="28"/>
        </w:rPr>
        <w:t>配电室的各种记录档案应分类归档，设计、施工、竣工验收的图纸、图表等文件长期保存，其他记录至少保存1年。</w:t>
      </w:r>
    </w:p>
    <w:p>
      <w:pPr>
        <w:snapToGrid w:val="0"/>
        <w:spacing w:line="360" w:lineRule="auto"/>
        <w:ind w:left="-220"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3</w:t>
      </w:r>
      <w:r>
        <w:rPr>
          <w:rFonts w:ascii="仿宋_GB2312" w:hAnsi="方正仿宋_GB2312" w:eastAsia="仿宋_GB2312" w:cs="方正仿宋_GB2312"/>
          <w:color w:val="000000" w:themeColor="text1"/>
          <w:sz w:val="28"/>
          <w:szCs w:val="28"/>
        </w:rPr>
        <w:t>.</w:t>
      </w:r>
      <w:r>
        <w:rPr>
          <w:rFonts w:hint="eastAsia" w:ascii="仿宋_GB2312" w:hAnsi="方正仿宋_GB2312" w:eastAsia="仿宋_GB2312" w:cs="方正仿宋_GB2312"/>
          <w:color w:val="000000" w:themeColor="text1"/>
          <w:sz w:val="28"/>
          <w:szCs w:val="28"/>
        </w:rPr>
        <w:t>应根据配电室的设备规模、自动化程度、操作的繁简程度和用电负荷的类别，开展从业人员的安全教育和培训，使之具备必要的安全生产知识、安全操作技能和应急救援知识。</w:t>
      </w:r>
    </w:p>
    <w:p>
      <w:pPr>
        <w:snapToGrid w:val="0"/>
        <w:spacing w:line="360" w:lineRule="auto"/>
        <w:ind w:left="-220"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4</w:t>
      </w:r>
      <w:r>
        <w:rPr>
          <w:rFonts w:ascii="仿宋_GB2312" w:hAnsi="方正仿宋_GB2312" w:eastAsia="仿宋_GB2312" w:cs="方正仿宋_GB2312"/>
          <w:color w:val="000000" w:themeColor="text1"/>
          <w:sz w:val="28"/>
          <w:szCs w:val="28"/>
        </w:rPr>
        <w:t>.</w:t>
      </w:r>
      <w:r>
        <w:rPr>
          <w:rFonts w:hint="eastAsia" w:ascii="仿宋_GB2312" w:hAnsi="方正仿宋_GB2312" w:eastAsia="仿宋_GB2312" w:cs="方正仿宋_GB2312"/>
          <w:color w:val="000000" w:themeColor="text1"/>
          <w:sz w:val="28"/>
          <w:szCs w:val="28"/>
        </w:rPr>
        <w:t>应编制配电室应对设备异常、停电、触电、汛害、电器设备火灾爆炸等情况的应急预案，应急预案编制应符合G</w:t>
      </w:r>
      <w:r>
        <w:rPr>
          <w:rFonts w:ascii="仿宋_GB2312" w:hAnsi="方正仿宋_GB2312" w:eastAsia="仿宋_GB2312" w:cs="方正仿宋_GB2312"/>
          <w:color w:val="000000" w:themeColor="text1"/>
          <w:sz w:val="28"/>
          <w:szCs w:val="28"/>
        </w:rPr>
        <w:t>B/T29639</w:t>
      </w:r>
      <w:r>
        <w:rPr>
          <w:rFonts w:hint="eastAsia" w:ascii="仿宋_GB2312" w:hAnsi="方正仿宋_GB2312" w:eastAsia="仿宋_GB2312" w:cs="方正仿宋_GB2312"/>
          <w:color w:val="000000" w:themeColor="text1"/>
          <w:sz w:val="28"/>
          <w:szCs w:val="28"/>
        </w:rPr>
        <w:t>有关要求，并至少每3年修订一次，且在现场备存。</w:t>
      </w:r>
    </w:p>
    <w:p>
      <w:pPr>
        <w:snapToGrid w:val="0"/>
        <w:spacing w:line="360" w:lineRule="auto"/>
        <w:ind w:left="-220"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5</w:t>
      </w:r>
      <w:r>
        <w:rPr>
          <w:rFonts w:ascii="仿宋_GB2312" w:hAnsi="方正仿宋_GB2312" w:eastAsia="仿宋_GB2312" w:cs="方正仿宋_GB2312"/>
          <w:color w:val="000000" w:themeColor="text1"/>
          <w:sz w:val="28"/>
          <w:szCs w:val="28"/>
        </w:rPr>
        <w:t>.</w:t>
      </w:r>
      <w:r>
        <w:rPr>
          <w:rFonts w:hint="eastAsia" w:ascii="仿宋_GB2312" w:hAnsi="方正仿宋_GB2312" w:eastAsia="仿宋_GB2312" w:cs="方正仿宋_GB2312"/>
          <w:color w:val="000000" w:themeColor="text1"/>
          <w:sz w:val="28"/>
          <w:szCs w:val="28"/>
        </w:rPr>
        <w:t>配电室应急预案演练每年不少于2次，演练结束后应分析演练中的问题，对演练效果进行评估，撰写演练总结报告。</w:t>
      </w:r>
    </w:p>
    <w:p>
      <w:pPr>
        <w:snapToGrid w:val="0"/>
        <w:spacing w:line="360" w:lineRule="auto"/>
        <w:ind w:left="-220"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6</w:t>
      </w:r>
      <w:r>
        <w:rPr>
          <w:rFonts w:ascii="仿宋_GB2312" w:hAnsi="方正仿宋_GB2312" w:eastAsia="仿宋_GB2312" w:cs="方正仿宋_GB2312"/>
          <w:color w:val="000000" w:themeColor="text1"/>
          <w:sz w:val="28"/>
          <w:szCs w:val="28"/>
        </w:rPr>
        <w:t>.</w:t>
      </w:r>
      <w:r>
        <w:rPr>
          <w:rFonts w:hint="eastAsia" w:ascii="仿宋_GB2312" w:hAnsi="方正仿宋_GB2312" w:eastAsia="仿宋_GB2312" w:cs="方正仿宋_GB2312"/>
          <w:color w:val="000000" w:themeColor="text1"/>
          <w:sz w:val="28"/>
          <w:szCs w:val="28"/>
        </w:rPr>
        <w:t>新建或改造的电力用户配电室应按智能化运维的要求建设智能运维系统。</w:t>
      </w:r>
    </w:p>
    <w:p>
      <w:pPr>
        <w:snapToGrid w:val="0"/>
        <w:spacing w:line="360" w:lineRule="auto"/>
        <w:ind w:left="-220" w:firstLine="560" w:firstLineChars="200"/>
        <w:rPr>
          <w:rFonts w:ascii="仿宋_GB2312" w:hAnsi="方正仿宋_GB2312" w:eastAsia="仿宋_GB2312" w:cs="方正仿宋_GB2312"/>
          <w:color w:val="000000" w:themeColor="text1"/>
          <w:sz w:val="28"/>
          <w:szCs w:val="28"/>
        </w:rPr>
      </w:pPr>
      <w:r>
        <w:rPr>
          <w:rFonts w:ascii="仿宋_GB2312" w:hAnsi="方正仿宋_GB2312" w:eastAsia="仿宋_GB2312" w:cs="方正仿宋_GB2312"/>
          <w:color w:val="000000" w:themeColor="text1"/>
          <w:sz w:val="28"/>
          <w:szCs w:val="28"/>
        </w:rPr>
        <w:t>7.</w:t>
      </w:r>
      <w:r>
        <w:rPr>
          <w:rFonts w:hint="eastAsia" w:ascii="仿宋_GB2312" w:hAnsi="方正仿宋_GB2312" w:eastAsia="仿宋_GB2312" w:cs="方正仿宋_GB2312"/>
          <w:color w:val="000000" w:themeColor="text1"/>
          <w:sz w:val="28"/>
          <w:szCs w:val="28"/>
        </w:rPr>
        <w:t>采用智能化运维的配电室应配置智能运维系统，并应建立智能运维安全管理制度、定期开展智能运维培训。</w:t>
      </w:r>
    </w:p>
    <w:p>
      <w:pPr>
        <w:snapToGrid w:val="0"/>
        <w:spacing w:line="360" w:lineRule="auto"/>
        <w:ind w:left="-220" w:firstLine="560" w:firstLineChars="200"/>
        <w:rPr>
          <w:rFonts w:ascii="仿宋_GB2312" w:hAnsi="方正仿宋_GB2312" w:eastAsia="仿宋_GB2312" w:cs="方正仿宋_GB2312"/>
          <w:color w:val="000000" w:themeColor="text1"/>
          <w:sz w:val="28"/>
          <w:szCs w:val="28"/>
        </w:rPr>
      </w:pPr>
      <w:r>
        <w:rPr>
          <w:rFonts w:ascii="仿宋_GB2312" w:hAnsi="方正仿宋_GB2312" w:eastAsia="仿宋_GB2312" w:cs="方正仿宋_GB2312"/>
          <w:color w:val="000000" w:themeColor="text1"/>
          <w:sz w:val="28"/>
          <w:szCs w:val="28"/>
        </w:rPr>
        <w:t>8.</w:t>
      </w:r>
      <w:r>
        <w:rPr>
          <w:rFonts w:hint="eastAsia" w:ascii="仿宋_GB2312" w:hAnsi="方正仿宋_GB2312" w:eastAsia="仿宋_GB2312" w:cs="方正仿宋_GB2312"/>
          <w:color w:val="000000" w:themeColor="text1"/>
          <w:sz w:val="28"/>
          <w:szCs w:val="28"/>
        </w:rPr>
        <w:t>配电室内各设备的设置和运行应符合消防安全要求，配电室应建立消防应急处置措施，定期开展消防安全检查。</w:t>
      </w:r>
    </w:p>
    <w:p>
      <w:pPr>
        <w:snapToGrid w:val="0"/>
        <w:spacing w:line="360" w:lineRule="auto"/>
        <w:ind w:firstLine="560" w:firstLineChars="200"/>
        <w:rPr>
          <w:rFonts w:ascii="仿宋_GB2312" w:hAnsi="仿宋" w:eastAsia="仿宋_GB2312" w:cs="Times New Roman"/>
          <w:b/>
          <w:color w:val="000000" w:themeColor="text1"/>
          <w:sz w:val="28"/>
          <w:szCs w:val="32"/>
        </w:rPr>
      </w:pPr>
      <w:r>
        <w:rPr>
          <w:rFonts w:hint="eastAsia" w:ascii="仿宋_GB2312" w:hAnsi="方正仿宋_GB2312" w:eastAsia="仿宋_GB2312" w:cs="方正仿宋_GB2312"/>
          <w:color w:val="000000" w:themeColor="text1"/>
          <w:sz w:val="28"/>
          <w:szCs w:val="28"/>
        </w:rPr>
        <w:t>关于配电室的设备管理、设施管理、运行维护、人员要求、重大活动安全用电的具体要求的相关要求具体参见《配电室安全管理规范》（DB11/T527-2021）。</w:t>
      </w:r>
    </w:p>
    <w:p>
      <w:pPr>
        <w:ind w:firstLine="562" w:firstLineChars="200"/>
        <w:rPr>
          <w:rFonts w:ascii="仿宋_GB2312" w:eastAsia="仿宋_GB2312"/>
          <w:b/>
          <w:color w:val="000000" w:themeColor="text1"/>
        </w:rPr>
      </w:pPr>
      <w:r>
        <w:rPr>
          <w:rFonts w:hint="eastAsia" w:ascii="仿宋_GB2312" w:hAnsi="仿宋" w:eastAsia="仿宋_GB2312" w:cs="Times New Roman"/>
          <w:b/>
          <w:color w:val="000000" w:themeColor="text1"/>
          <w:sz w:val="28"/>
          <w:szCs w:val="32"/>
        </w:rPr>
        <w:t>根据《住宅物业服务标准》：</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1.楼内照明</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每月巡视1次，一般故障3日内修复；复杂故障1周内修复。完好率不低于80%，满足使用要求。电光源和照明灯具完好，当照度低于设计标准的80%时，应进行维修。（一级）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每月巡视1次，一般故障2日内修复；复杂故障1周内修复。完好率不低于85%，满足使用要求。电光源和照明灯具完好，当照度低于设计标准的80%时，应进行维修。（二级）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每月巡查1次，一般故障1日内修复；复杂故障5日内修复。亮灯率90%以上。电光源和照明灯具完好，当照度低于设计标准的80%时，应进行维修。（三级）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每月巡查1次，一般故障12小时内修复，复杂故障1日内修复；亮灯率95%以上。电光源和照明灯具完好，当照度低于设计标准的80%时，应进行维修。（四级）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每班巡视1次，一般故障6小时内修复；复杂故障12小时内修复。亮灯率98%以上。电光源和照明灯具完好，当照度低于设计标准的80%时，应进行维修。（五级）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2.楼外照明</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每月巡视1次，一般故障3日内修复；复杂故障2周内修复。完好率不低于80%，满足使用要求。照度低于设计标准80%时，应进行维修。（一级）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每半月巡视1次，一般故障2日内修复；复杂故障2周内修复。完好率不低于85%，满足使用要求。照度低于设计标准80%时，应进行维修。（二级）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每周巡视1次，一般故障1日内修复；复杂故障1周内修复；每月调整1次时间控制器。完好率不低于90%，满足使用要求。照度低于设计标准80%时，应进行维修。（三级）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每周巡视3次；一般故障1日内修复；复杂故障5日内修复；每2周调整1次时间控制器。完好率不低于95%。照度低于设计标准80%时，应进行维修。（四级）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每日巡视1次，一般故障12小时内修复；复杂故障3日内修复；每2周调整1次时间控制器。完好率不低于98%。照度低于设计标准 80%时，应进行维修。（五级）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3.应急照明</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（1）每日巡视1次，发现故障，即时修复。（一至五级）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（2）应急照明包括安全照明灯、疏散照明灯、疏散指示灯、楼层指示灯。高于100米的建筑物内的应急照明断电后，依靠蓄电池维持时间应不少于30分钟， 低于100米的应不少于20分钟。应急照明灯具的集中式或自带式蓄电池都应定期进行充放电。（一至五级）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4.低压柜</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每月巡视1次设备运行状况；每年养护1次，养护内容包括紧固、测试、清扫。（一级）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每半月巡视1次设备运行状况；每年养护1次，养护内容包括紧固、测试、清扫；每年检查1次电气安全。（二级）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每日巡视1次设备运行状况；每半年养护1次，养护内容包括紧固、检测、清扫；每年检查1次电气安全。（三级）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每日巡视2次设备运行状况；每半年养护1次，养护内容包括紧固、测试、清扫；每年检查1次电气安全；每半年检测1次接地电阻；每年校验1次仪表。（四级）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每日巡视3次设备运行状况；每半年养护1次，养护内容包括紧固、检测、清扫；每年检查2次电气安全；每半年检测1次接地电阻；每年校验1次仪表。（五级）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5.低压配电箱和线路</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每季度巡视1次设备运行状态；每年养护1次，养护内容包括紧固、测试、清扫等。（一至二级）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每月巡视1次设备运行状况；每年养护1次，养护内容包括紧固、测试、清扫。（三级）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每月巡视2次设备运行状况；每年养护1次，养护内容包括紧固、测试、清扫；每半年切换1次双路互投开关。（四级）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每周巡视1次设备运行状态；每半年养护1次，养护内容包括紧固、测试、清扫；每半年切换1次双路互投开关。（五级）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6.控制柜</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每季度巡视1次设备运行状况；每年养护1次，养护内容包括紧固、检测、调试、清扫。（一级）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每月巡视1次设备运行状态；每年养护1次，养护内容包括紧固、测试、清扫、调试。（二级）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每2周巡视1次设备运行状况；每年养护1次，养护内容包括紧固、测试、调试、清扫。（三级）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每周巡视1次设备运行状况；每年养护2次，养护内容包括紧固、测试、调试、清扫；每半年校正1次各种电器元件或控制设备的设定值；每年检查1次远控装置。（四级）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每周巡视2次设备运行状态；每年养护2次，养护内容包括紧固、测试、调试、清扫；每季度校正1次各种电器装置或控制设备的设定值；每年检查2次各类远控装置和节能装置。（五级）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7.发电机</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每季度试运行1次，保证正常运行。（一至二级）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每月试运行1次，保证运行正常；每年活化1次蓄电池；每周巡视1次充电机和蓄电池。（三级）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每月试运行1次，保证运行正常；每年1次带负荷运行；每年活化2次蓄电池；每日巡视1次充电机和蓄电池。（四级）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每月试运行1次，保证运行正常；每年2次带负荷运行；每年活化2次蓄电池；每班巡视1次充电机和蓄电池。（五级）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8.配电室、楼层配电间</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（1）防小动物措施完备；穿墙线槽周边封堵严密；锁具完好。（一至二级）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防小动物措施完备；穿墙线槽周边封堵严密；锁具完好；电缆进出线和开关标识准确。（三级）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防小动物措施完备；穿墙线槽周边封堵严密；锁具完好；电缆进出线和开关标识清晰、准确。（四至五级）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2）检查低压柜各个支路的负荷情况，电气元件和连接点温度，各种表计异常误差，柜内积尘情况，异常噪声和气味，各类电气元件的设定值的异常变化，进出线的护口，锁具、柜体，各种标识标牌，指示灯，各种电器装置或控制设备的设定参数，按钮，转换开关，远控装置。</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定期切换EPS主备电源和末端双路电源互投开关，定期对蓄电池充放电。（一至五级）</w:t>
      </w:r>
    </w:p>
    <w:p>
      <w:pPr>
        <w:spacing w:line="360" w:lineRule="auto"/>
        <w:ind w:left="-220"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（3）配电室的门口应设置挡鼠板，其高度不低于0.4米。所有穿过变电室墙壁、顶棚和地面的线槽，线管周围的空隙应严密封堵。配电室应保持干燥。室内各种标识标牌完备。（一至五级）</w:t>
      </w:r>
    </w:p>
    <w:p>
      <w:pPr>
        <w:spacing w:line="360" w:lineRule="auto"/>
        <w:ind w:left="-220" w:firstLine="562" w:firstLineChars="200"/>
        <w:rPr>
          <w:rFonts w:ascii="仿宋_GB2312" w:hAnsi="方正仿宋_GB2312" w:eastAsia="仿宋_GB2312" w:cs="方正仿宋_GB2312"/>
          <w:color w:val="000000" w:themeColor="text1"/>
          <w:sz w:val="28"/>
          <w:szCs w:val="28"/>
        </w:rPr>
      </w:pPr>
      <w:r>
        <w:rPr>
          <w:rFonts w:hint="eastAsia" w:ascii="仿宋_GB2312" w:eastAsia="仿宋_GB2312"/>
          <w:b/>
          <w:color w:val="000000" w:themeColor="text1"/>
          <w:sz w:val="28"/>
        </w:rPr>
        <w:t>风险提示</w:t>
      </w:r>
    </w:p>
    <w:p>
      <w:pPr>
        <w:spacing w:line="360" w:lineRule="auto"/>
        <w:ind w:left="-220" w:firstLine="562" w:firstLineChars="200"/>
        <w:rPr>
          <w:rFonts w:ascii="仿宋_GB2312" w:hAnsi="方正仿宋_GB2312" w:eastAsia="仿宋_GB2312" w:cs="方正仿宋_GB2312"/>
          <w:b/>
          <w:color w:val="000000" w:themeColor="text1"/>
          <w:sz w:val="28"/>
          <w:szCs w:val="28"/>
        </w:rPr>
      </w:pPr>
      <w:r>
        <w:rPr>
          <w:rFonts w:hint="eastAsia" w:ascii="仿宋_GB2312" w:hAnsi="方正仿宋_GB2312" w:eastAsia="仿宋_GB2312" w:cs="方正仿宋_GB2312"/>
          <w:b/>
          <w:color w:val="000000" w:themeColor="text1"/>
          <w:sz w:val="28"/>
          <w:szCs w:val="28"/>
        </w:rPr>
        <w:t>根据《中华人民共和国电力法》：</w:t>
      </w:r>
    </w:p>
    <w:p>
      <w:pPr>
        <w:spacing w:line="360" w:lineRule="auto"/>
        <w:ind w:left="-220"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第三十二条第一款  用户用电不得危害供电、用电安全和扰乱供电用电秩序。</w:t>
      </w:r>
    </w:p>
    <w:p>
      <w:pPr>
        <w:spacing w:line="360" w:lineRule="auto"/>
        <w:ind w:left="-220"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第六十五条  违反本法第三十二条规定，危害供电、用电安全或者扰乱供电、用电秩序的，由电力管理部门责令改正，给予警告；情节严重或者拒绝改正的，可以中止供电，可以并处五万元以下的罚款。</w:t>
      </w:r>
    </w:p>
    <w:p>
      <w:pPr>
        <w:spacing w:line="360" w:lineRule="auto"/>
        <w:ind w:left="-220" w:firstLine="562"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b/>
          <w:color w:val="000000" w:themeColor="text1"/>
          <w:sz w:val="28"/>
          <w:szCs w:val="28"/>
        </w:rPr>
        <w:t>根据《电力设施保护条例》（中华人民共和国</w:t>
      </w:r>
      <w:r>
        <w:fldChar w:fldCharType="begin"/>
      </w:r>
      <w:r>
        <w:instrText xml:space="preserve"> HYPERLINK "http://www.baidu.com/link?url=9YDQCsV-DrxPUnev9dwTqFv0-h2kTr-p_7jpFzil9fFU7P7qLfrp3hzP3Lk35FHjr7Mrt49sIoM-TbiKYR45y68sLXgtPa8DuFV-fygBZea" \t "_blank" </w:instrText>
      </w:r>
      <w:r>
        <w:fldChar w:fldCharType="separate"/>
      </w:r>
      <w:r>
        <w:rPr>
          <w:rFonts w:ascii="仿宋_GB2312" w:hAnsi="方正仿宋_GB2312" w:eastAsia="仿宋_GB2312" w:cs="方正仿宋_GB2312"/>
          <w:b/>
          <w:color w:val="000000" w:themeColor="text1"/>
          <w:sz w:val="28"/>
          <w:szCs w:val="28"/>
        </w:rPr>
        <w:t>国务院令第239号）</w:t>
      </w:r>
      <w:r>
        <w:rPr>
          <w:rFonts w:ascii="仿宋_GB2312" w:hAnsi="方正仿宋_GB2312" w:eastAsia="仿宋_GB2312" w:cs="方正仿宋_GB2312"/>
          <w:b/>
          <w:color w:val="000000" w:themeColor="text1"/>
          <w:sz w:val="28"/>
          <w:szCs w:val="28"/>
        </w:rPr>
        <w:fldChar w:fldCharType="end"/>
      </w:r>
      <w:r>
        <w:rPr>
          <w:rFonts w:hint="eastAsia" w:ascii="仿宋_GB2312" w:hAnsi="方正仿宋_GB2312" w:eastAsia="仿宋_GB2312" w:cs="方正仿宋_GB2312"/>
          <w:color w:val="000000" w:themeColor="text1"/>
          <w:sz w:val="28"/>
          <w:szCs w:val="28"/>
        </w:rPr>
        <w:t>：</w:t>
      </w:r>
    </w:p>
    <w:p>
      <w:pPr>
        <w:spacing w:line="360" w:lineRule="auto"/>
        <w:ind w:left="-220"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第二十七条  违反本条例规定，危害发电设施、变电设施和电力线路设施的，由电力管理部门责令改正；拒不改正的，处10000元以下的罚款。电力主管部门有权制止并责令其限期改正；情节严重的，可处以罚款；凡造成损失的，电力主管部门还应责令其赔偿，并建议其上级主管部门对有关责任人员给予行政处分。</w:t>
      </w:r>
    </w:p>
    <w:p>
      <w:pPr>
        <w:spacing w:beforeLines="50" w:line="360" w:lineRule="auto"/>
        <w:ind w:firstLine="562" w:firstLineChars="200"/>
        <w:rPr>
          <w:rFonts w:ascii="仿宋_GB2312" w:hAnsi="方正仿宋_GB2312" w:eastAsia="仿宋_GB2312" w:cs="方正仿宋_GB2312"/>
          <w:b/>
          <w:color w:val="000000" w:themeColor="text1"/>
          <w:sz w:val="28"/>
          <w:szCs w:val="28"/>
        </w:rPr>
      </w:pPr>
      <w:r>
        <w:rPr>
          <w:rFonts w:hint="eastAsia" w:ascii="仿宋_GB2312" w:hAnsi="方正仿宋_GB2312" w:eastAsia="仿宋_GB2312" w:cs="方正仿宋_GB2312"/>
          <w:b/>
          <w:color w:val="000000" w:themeColor="text1"/>
          <w:sz w:val="28"/>
          <w:szCs w:val="28"/>
        </w:rPr>
        <w:t>根据《供用电监督管理办法》：</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第三十二条第一款  用户用电不得危害供电、用电安全和扰乱供电、用电秩序。</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第六十五条  违反本法第三十二条规定，危害供电、用电安全或者扰乱供电、用电秩序的，由电力管理部门责令改正，给予警告；情节严重或者拒绝改正的，可以中止供电，可以并处五万元以下的罚款。</w:t>
      </w:r>
    </w:p>
    <w:p>
      <w:pPr>
        <w:widowControl/>
        <w:jc w:val="left"/>
        <w:rPr>
          <w:rFonts w:ascii="仿宋_GB2312" w:hAnsi="Arial" w:eastAsia="仿宋_GB2312"/>
          <w:color w:val="000000" w:themeColor="text1"/>
          <w:sz w:val="32"/>
        </w:rPr>
      </w:pPr>
      <w:r>
        <w:rPr>
          <w:rFonts w:hint="eastAsia" w:ascii="仿宋_GB2312" w:eastAsia="仿宋_GB2312"/>
          <w:color w:val="000000" w:themeColor="text1"/>
        </w:rPr>
        <w:br w:type="page"/>
      </w:r>
    </w:p>
    <w:p>
      <w:pPr>
        <w:pStyle w:val="4"/>
        <w:spacing w:before="312" w:after="312"/>
        <w:rPr>
          <w:color w:val="000000" w:themeColor="text1"/>
        </w:rPr>
      </w:pPr>
      <w:bookmarkStart w:id="53" w:name="_Toc1451216434"/>
      <w:bookmarkStart w:id="54" w:name="_Toc150435235"/>
      <w:r>
        <w:rPr>
          <w:rFonts w:hint="eastAsia"/>
          <w:color w:val="000000" w:themeColor="text1"/>
        </w:rPr>
        <w:t>（七）安全防范系统检修养护合规指南</w:t>
      </w:r>
      <w:bookmarkEnd w:id="53"/>
      <w:bookmarkEnd w:id="54"/>
    </w:p>
    <w:p>
      <w:pPr>
        <w:spacing w:line="360" w:lineRule="auto"/>
        <w:ind w:firstLine="562" w:firstLineChars="200"/>
        <w:rPr>
          <w:rFonts w:ascii="仿宋_GB2312" w:eastAsia="仿宋_GB2312"/>
          <w:b/>
          <w:color w:val="000000" w:themeColor="text1"/>
        </w:rPr>
      </w:pPr>
      <w:r>
        <w:rPr>
          <w:rFonts w:hint="eastAsia" w:ascii="仿宋_GB2312" w:hAnsi="仿宋" w:eastAsia="仿宋_GB2312" w:cs="Times New Roman"/>
          <w:b/>
          <w:color w:val="000000" w:themeColor="text1"/>
          <w:sz w:val="28"/>
          <w:szCs w:val="32"/>
        </w:rPr>
        <w:t>根据《住宅物业服务标准》：</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1.报警控制管理主机</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日巡查1次，检查设备运行状态；每月表面清洁1次；每年内部除尘1次。检查设备表面和内部线路板、电子元器件表面的积尘情况。应使用投涮干净拧干无滴水的抹布擦拭设备表面；用吹吸风机，吹除或吸取内部灰尘，对顽垢可先用软毛刷清除。（一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2.对讲门口机</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每半年检查1次按键、显示屏等；每年表面清洁1次；每年内部除尘1次。要求按键灵敏有效、显示屏显示正常、通话清晰、固定牢固、防水状况良好。（一至二级）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每月检查1次按键、显示屏等；每月表面清洁1次；每半年内部除尘1次。要求按键灵敏有效、显示屏显示正常、通话清晰、固定牢固、防水状况良好。（三级）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每2周检查1次按键、显示屏等；每2周表面清洁1次；每半年内部除尘1次。要求按键灵敏有效、显示屏显示正常、通话清晰、固定牢固、防水状况良好。（四级）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每周检查1次按键、显示屏等；每周表面清洁1次；每季度内部除尘1次。要求按键灵敏有效、显示屏显示正常、通话清晰、固定牢固、防水状况良好。（五级）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3.网络控制箱</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每半年检查1次外观、接线；每半年表面清洁1次；每年内部除尘1次。外观无变形，接线紧固。（一至二级）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每半年检查1次外观、接线；每季度表面清洁1次；每半年内部除尘1次。外观无变形，接线紧固。（三级）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每季度检查1次外观、接线；每季度表面清洁1次；每半年内部除尘1次。外观无变形，接线紧固。（四级）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每月检查1次外观、接线；每月表面清洁1次；每季度内部除尘1次。外观无变形，接线紧固。（五级）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4.图像采集设备</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每周检查1次监视画面、录像功能；每月表面清洁1次；每年内部除尘1次。要求监视画面图像清晰，录像功能正常，矩阵开关摇杆灵活有效，图像切换正常。（一至二级）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每周检查1次监视画面、录像功能；每2周表面清洁1次；每半年内部除尘1次。要求监视画面图像清晰，录像功能正常，矩阵开关摇杆灵活有效，图像切换正常。（三级）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每周检查2次监视画面、录像功能；每2周表面清洁1次；每半年内部除尘1次。要求监视画面图像清晰，录像功能正常，矩阵开关摇杆灵活有效，图像切换正常。（四级）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每日检查1次监视画面、录像功能；每周表面清洁1次；每季度内部除尘1次。要求监视画面图像清晰，录像功能正常，矩阵开关摇杆灵活有效，图像切换正常。（五级）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5.摄像机</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年检查1次聚焦、红外夜视、接线、防水状况等，进行相应的调校；每年镜头表面清洁1次。摄像机镜头表面清洁时要用镜头纸擦拭，要求聚焦清晰、红外夜视正常、防水状况良好、固定牢靠、接线连接正常。环境恶劣时，表面清洁可缩短周期增加频次。（一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半年检查1次聚焦、红外夜视、接线、防水状况等，进行相应的调校；每年镜头表面清洁1次。摄像机镜头表面清洁时要用镜头纸擦拭，要求聚焦清晰、红外夜视正常、防水状况良好、固定牢靠、接线连接正常。环境恶劣时，表面清洁可缩短周期增加频次。（二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季度检查1次聚焦、红外夜视、接线、防水状况等，进行相应的调试；每季度镜头表面清洁1次；每年防护罩内部除尘1次。摄像机镜头表面清洁时要用镜头纸擦拭，要求聚焦清晰、红外夜视正常、防水状况良好、固定牢靠、接线连接正常。环境恶劣时，表面清洁可缩短周期增加频次。（三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6.云台</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每年检查1次运转、接线，进行清晰度调校；每年表面清洁1次。云台转动部位无锈涩，运转灵活无噪音，接线可靠。（一级）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每半年检查1次运转、接线，进行清晰度调校；每半年表面清洁1次。云台转动部位无锈涩，运转灵活无噪音，接线可靠。（二级）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每半年检查1次运转、接线，进行清晰度调校；每半年表面清洁1次；每年转动部位上润滑油1次。云台转动无锈涩，运转灵活无噪音，接线可靠。（三级）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每季度检查1次运转、接线，进行清晰度调校；每季度表面清洁1次；每年转动部位上润滑油1次。云台转动部位无锈涩，运转灵活无噪音，接线可靠。（四级）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每季度检查1次运转、接线，进行清晰度调校；每季度表面清洁1次；每半年转动部位上润滑油1次。云台转动部位无锈涩，运转灵活无噪音，接线可靠。（五级）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7.巡更点</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每半年检查1次外观，发现故障隐患，即时排除；每半年表面清洁1次；每日存储巡更记录。要求固定牢固、外观良好、存储记录有效可靠。（一级）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每季度检查1次外观，发现故障隐患，即时排除；每季度表面清洁1次；每日存储巡更记录。要求固定牢固、外观良好、存储记录有效可靠。（二级）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每月检查1次外观，发现故障隐患，即时排除；每月表面清洁1次；每日存储巡更记录。要求固定牢固、外观良好、存储记录有效可靠。（三级）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每2周检查1次外观，发现故障隐患，即时排除；每2周表面清洁1次；每日存储巡更记录。要求固定牢固、外观良好、存储记录有效可靠。（四级）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每周检查1次外观，发现故障隐患，即时排除；表面清洁1次；每日存储巡更记录。要求固定牢固、外观良好、存储记录有效可靠。（五级）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8.读卡器</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每季度检查1次外观；每季度表面清洁1次，查看防水状况。要求固定牢固、键盘灵敏有效、读卡时蜂鸣器声音正常、防水状况良好。（一至四级）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每周检查1次外观；每周表面清洁1次，查看防水状况。要求固定牢固、键盘灵敏有效、读卡时蜂鸣器声音正常、防水状况良好。（五级）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9.电磁锁门锁</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每季度检查1次吸力、外观、接线。要求固定牢固、吸力达标、外观无变形、接线紧固。（一至二级）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每2个月检查1次吸力、外观、接线。要求固定牢固、吸力达标、外观无变形、接线紧固。（三级）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每月检查1次吸力、外观、接线。要求固定牢固、吸力达标、外观无变形、接线紧固。（四级）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每2周检查1次吸力、外观、接线。要求固定牢固、吸力达标、外观无变形、接线紧固。（五级）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10.出门按钮</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每季度检查1次开锁功能、接线。要求牢固可靠、开锁正常、无污损。（一至二级）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每2个月检查1次开锁功能、接线。要求牢固可靠、开锁正常、无污损。（三级）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每月检查1次开锁功能、接线。要求牢固可靠、开锁正常、无污损。（四级）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每2周检查1次开锁功能、接线。要求牢固可靠、开锁正常、无污损。（五级）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另外，设置周界电子入侵报警设备的，每季度检查1次接线、探测范围、防水状况等；每季度表面清洁1次；每半年内部除尘1次。固定牢固，防水良好，探测范围有效、无误报，接线紧固。（三级）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每2个月检查1次接线、探测范围、防水状况等；每2个月表面清洁1次；每半年内部除尘1次。固定牢固，防水良好，探测范围有效、无误报，接线紧固。（四级）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每月检查1次接线、探测范围、防水状况等；每月表面清洁1次；每季度内部除尘1次。固定牢固，防水良好，探测范围有效、无误报，接线紧固。（五级）</w:t>
      </w:r>
    </w:p>
    <w:p>
      <w:pPr>
        <w:widowControl/>
        <w:jc w:val="left"/>
        <w:rPr>
          <w:rFonts w:ascii="仿宋_GB2312" w:hAnsi="Arial" w:eastAsia="仿宋_GB2312"/>
          <w:color w:val="000000" w:themeColor="text1"/>
          <w:sz w:val="32"/>
        </w:rPr>
      </w:pPr>
      <w:r>
        <w:rPr>
          <w:rFonts w:hint="eastAsia" w:ascii="仿宋_GB2312" w:eastAsia="仿宋_GB2312"/>
          <w:color w:val="000000" w:themeColor="text1"/>
        </w:rPr>
        <w:br w:type="page"/>
      </w:r>
    </w:p>
    <w:p>
      <w:pPr>
        <w:pStyle w:val="4"/>
        <w:spacing w:before="312" w:after="312"/>
        <w:rPr>
          <w:color w:val="000000" w:themeColor="text1"/>
        </w:rPr>
      </w:pPr>
      <w:bookmarkStart w:id="55" w:name="_Toc1622827259"/>
      <w:bookmarkStart w:id="56" w:name="_Toc150435236"/>
      <w:r>
        <w:rPr>
          <w:rFonts w:hint="eastAsia"/>
          <w:color w:val="000000" w:themeColor="text1"/>
        </w:rPr>
        <w:t>（八）电梯检修养护合规指南</w:t>
      </w:r>
      <w:bookmarkEnd w:id="55"/>
      <w:bookmarkEnd w:id="56"/>
    </w:p>
    <w:p>
      <w:pPr>
        <w:snapToGrid w:val="0"/>
        <w:spacing w:beforeLines="50" w:line="360" w:lineRule="auto"/>
        <w:ind w:firstLine="562" w:firstLineChars="200"/>
        <w:rPr>
          <w:rFonts w:ascii="仿宋_GB2312" w:hAnsi="方正仿宋_GB2312" w:eastAsia="仿宋_GB2312" w:cs="方正仿宋_GB2312"/>
          <w:b/>
          <w:color w:val="000000" w:themeColor="text1"/>
          <w:sz w:val="28"/>
          <w:szCs w:val="28"/>
        </w:rPr>
      </w:pPr>
      <w:r>
        <w:rPr>
          <w:rFonts w:hint="eastAsia" w:ascii="仿宋_GB2312" w:hAnsi="方正仿宋_GB2312" w:eastAsia="仿宋_GB2312" w:cs="方正仿宋_GB2312"/>
          <w:b/>
          <w:color w:val="000000" w:themeColor="text1"/>
          <w:sz w:val="28"/>
          <w:szCs w:val="28"/>
        </w:rPr>
        <w:t>根据《特种设备使用单位落实使用安全主体责任监督管理规定》（</w:t>
      </w:r>
      <w:r>
        <w:rPr>
          <w:rFonts w:ascii="仿宋_GB2312" w:hAnsi="方正仿宋_GB2312" w:eastAsia="仿宋_GB2312" w:cs="方正仿宋_GB2312"/>
          <w:b/>
          <w:color w:val="000000" w:themeColor="text1"/>
          <w:sz w:val="28"/>
          <w:szCs w:val="28"/>
        </w:rPr>
        <w:t>国家市场监督管理总局令第74号</w:t>
      </w:r>
      <w:r>
        <w:rPr>
          <w:rFonts w:hint="eastAsia" w:ascii="仿宋_GB2312" w:hAnsi="方正仿宋_GB2312" w:eastAsia="仿宋_GB2312" w:cs="方正仿宋_GB2312"/>
          <w:b/>
          <w:color w:val="000000" w:themeColor="text1"/>
          <w:sz w:val="28"/>
          <w:szCs w:val="28"/>
        </w:rPr>
        <w:t>）：</w:t>
      </w:r>
    </w:p>
    <w:p>
      <w:pPr>
        <w:pStyle w:val="47"/>
        <w:snapToGrid w:val="0"/>
        <w:spacing w:after="0" w:line="360" w:lineRule="auto"/>
        <w:ind w:left="0" w:leftChars="0" w:firstLine="560"/>
        <w:rPr>
          <w:rFonts w:ascii="仿宋_GB2312" w:hAnsi="方正仿宋_GB2312" w:eastAsia="仿宋_GB2312" w:cs="方正仿宋_GB2312"/>
          <w:color w:val="000000" w:themeColor="text1"/>
          <w:sz w:val="28"/>
          <w:szCs w:val="28"/>
        </w:rPr>
      </w:pPr>
      <w:r>
        <w:rPr>
          <w:rFonts w:ascii="仿宋_GB2312" w:hAnsi="方正仿宋_GB2312" w:eastAsia="仿宋_GB2312" w:cs="方正仿宋_GB2312"/>
          <w:color w:val="000000" w:themeColor="text1"/>
          <w:sz w:val="28"/>
          <w:szCs w:val="28"/>
        </w:rPr>
        <w:t>第六十九条</w:t>
      </w:r>
      <w:r>
        <w:rPr>
          <w:rFonts w:hint="eastAsia" w:ascii="仿宋_GB2312" w:hAnsi="方正仿宋_GB2312" w:eastAsia="仿宋_GB2312" w:cs="方正仿宋_GB2312"/>
          <w:color w:val="000000" w:themeColor="text1"/>
          <w:sz w:val="28"/>
          <w:szCs w:val="28"/>
        </w:rPr>
        <w:t xml:space="preserve"> </w:t>
      </w:r>
      <w:r>
        <w:rPr>
          <w:rFonts w:ascii="仿宋_GB2312" w:hAnsi="方正仿宋_GB2312" w:eastAsia="仿宋_GB2312" w:cs="方正仿宋_GB2312"/>
          <w:color w:val="000000" w:themeColor="text1"/>
          <w:sz w:val="28"/>
          <w:szCs w:val="28"/>
        </w:rPr>
        <w:t xml:space="preserve"> 电梯使用单位应当依法配备电梯安全总监和电梯安全员，明确电梯安全总监和电梯安全员的岗位职责。</w:t>
      </w:r>
    </w:p>
    <w:p>
      <w:pPr>
        <w:pStyle w:val="47"/>
        <w:snapToGrid w:val="0"/>
        <w:spacing w:after="0" w:line="360" w:lineRule="auto"/>
        <w:ind w:left="0" w:leftChars="0" w:firstLine="560"/>
        <w:rPr>
          <w:rFonts w:ascii="仿宋_GB2312" w:hAnsi="方正仿宋_GB2312" w:eastAsia="仿宋_GB2312" w:cs="方正仿宋_GB2312"/>
          <w:color w:val="000000" w:themeColor="text1"/>
          <w:sz w:val="28"/>
          <w:szCs w:val="28"/>
        </w:rPr>
      </w:pPr>
      <w:r>
        <w:rPr>
          <w:rFonts w:ascii="仿宋_GB2312" w:hAnsi="方正仿宋_GB2312" w:eastAsia="仿宋_GB2312" w:cs="方正仿宋_GB2312"/>
          <w:color w:val="000000" w:themeColor="text1"/>
          <w:sz w:val="28"/>
          <w:szCs w:val="28"/>
        </w:rPr>
        <w:t>电梯使用单位主要负责人对本单位电梯使用安全全面负责，建立并落实电梯使用安全主体责任的长效机制。电梯安全总监和电梯安全员应当按照岗位职责，协助单位主要负责人做好电梯使用安全管理工作。</w:t>
      </w:r>
    </w:p>
    <w:p>
      <w:pPr>
        <w:pStyle w:val="47"/>
        <w:snapToGrid w:val="0"/>
        <w:spacing w:after="0" w:line="360" w:lineRule="auto"/>
        <w:ind w:left="0" w:leftChars="0" w:firstLine="560"/>
        <w:rPr>
          <w:rFonts w:ascii="仿宋_GB2312" w:hAnsi="方正仿宋_GB2312" w:eastAsia="仿宋_GB2312" w:cs="方正仿宋_GB2312"/>
          <w:color w:val="000000" w:themeColor="text1"/>
          <w:sz w:val="28"/>
          <w:szCs w:val="28"/>
        </w:rPr>
      </w:pPr>
      <w:r>
        <w:rPr>
          <w:rFonts w:ascii="仿宋_GB2312" w:hAnsi="方正仿宋_GB2312" w:eastAsia="仿宋_GB2312" w:cs="方正仿宋_GB2312"/>
          <w:color w:val="000000" w:themeColor="text1"/>
          <w:sz w:val="28"/>
          <w:szCs w:val="28"/>
        </w:rPr>
        <w:t>第七十条</w:t>
      </w:r>
      <w:r>
        <w:rPr>
          <w:rFonts w:hint="eastAsia" w:ascii="仿宋_GB2312" w:hAnsi="方正仿宋_GB2312" w:eastAsia="仿宋_GB2312" w:cs="方正仿宋_GB2312"/>
          <w:color w:val="000000" w:themeColor="text1"/>
          <w:sz w:val="28"/>
          <w:szCs w:val="28"/>
        </w:rPr>
        <w:t xml:space="preserve"> </w:t>
      </w:r>
      <w:r>
        <w:rPr>
          <w:rFonts w:ascii="仿宋_GB2312" w:hAnsi="方正仿宋_GB2312" w:eastAsia="仿宋_GB2312" w:cs="方正仿宋_GB2312"/>
          <w:color w:val="000000" w:themeColor="text1"/>
          <w:sz w:val="28"/>
          <w:szCs w:val="28"/>
        </w:rPr>
        <w:t xml:space="preserve"> 电梯使用单位主要负责人应当支持和保障电梯安全总监和电梯安全员依法开展电梯使用安全管理工作，在作出涉及电梯安全的重大决策前，应当充分听取电梯安全总监和电梯安全员的意见和建议。</w:t>
      </w:r>
    </w:p>
    <w:p>
      <w:pPr>
        <w:pStyle w:val="47"/>
        <w:snapToGrid w:val="0"/>
        <w:spacing w:after="0" w:line="360" w:lineRule="auto"/>
        <w:ind w:left="0" w:leftChars="0" w:firstLine="560"/>
        <w:rPr>
          <w:rFonts w:ascii="仿宋_GB2312" w:hAnsi="方正仿宋_GB2312" w:eastAsia="仿宋_GB2312" w:cs="方正仿宋_GB2312"/>
          <w:color w:val="000000" w:themeColor="text1"/>
          <w:sz w:val="28"/>
          <w:szCs w:val="28"/>
        </w:rPr>
      </w:pPr>
      <w:r>
        <w:rPr>
          <w:rFonts w:ascii="仿宋_GB2312" w:hAnsi="方正仿宋_GB2312" w:eastAsia="仿宋_GB2312" w:cs="方正仿宋_GB2312"/>
          <w:color w:val="000000" w:themeColor="text1"/>
          <w:sz w:val="28"/>
          <w:szCs w:val="28"/>
        </w:rPr>
        <w:t>第七十一条</w:t>
      </w:r>
      <w:r>
        <w:rPr>
          <w:rFonts w:hint="eastAsia" w:ascii="仿宋_GB2312" w:hAnsi="方正仿宋_GB2312" w:eastAsia="仿宋_GB2312" w:cs="方正仿宋_GB2312"/>
          <w:color w:val="000000" w:themeColor="text1"/>
          <w:sz w:val="28"/>
          <w:szCs w:val="28"/>
        </w:rPr>
        <w:t xml:space="preserve"> </w:t>
      </w:r>
      <w:r>
        <w:rPr>
          <w:rFonts w:ascii="仿宋_GB2312" w:hAnsi="方正仿宋_GB2312" w:eastAsia="仿宋_GB2312" w:cs="方正仿宋_GB2312"/>
          <w:color w:val="000000" w:themeColor="text1"/>
          <w:sz w:val="28"/>
          <w:szCs w:val="28"/>
        </w:rPr>
        <w:t xml:space="preserve"> 电梯使用单位应当根据本单位电梯的数量、用途、使用环境等情况，配备电梯安全总监和足够数量的电梯安全员，并逐台明确负责的电梯安全员。</w:t>
      </w:r>
    </w:p>
    <w:p>
      <w:pPr>
        <w:pStyle w:val="47"/>
        <w:snapToGrid w:val="0"/>
        <w:spacing w:after="0" w:line="360" w:lineRule="auto"/>
        <w:ind w:left="0" w:leftChars="0" w:firstLine="560"/>
        <w:rPr>
          <w:rFonts w:ascii="仿宋_GB2312" w:hAnsi="方正仿宋_GB2312" w:eastAsia="仿宋_GB2312" w:cs="方正仿宋_GB2312"/>
          <w:color w:val="000000" w:themeColor="text1"/>
          <w:sz w:val="28"/>
          <w:szCs w:val="28"/>
        </w:rPr>
      </w:pPr>
      <w:r>
        <w:rPr>
          <w:rFonts w:ascii="仿宋_GB2312" w:hAnsi="方正仿宋_GB2312" w:eastAsia="仿宋_GB2312" w:cs="方正仿宋_GB2312"/>
          <w:color w:val="000000" w:themeColor="text1"/>
          <w:sz w:val="28"/>
          <w:szCs w:val="28"/>
        </w:rPr>
        <w:t>第七十五条</w:t>
      </w:r>
      <w:r>
        <w:rPr>
          <w:rFonts w:hint="eastAsia" w:ascii="仿宋_GB2312" w:hAnsi="方正仿宋_GB2312" w:eastAsia="仿宋_GB2312" w:cs="方正仿宋_GB2312"/>
          <w:color w:val="000000" w:themeColor="text1"/>
          <w:sz w:val="28"/>
          <w:szCs w:val="28"/>
        </w:rPr>
        <w:t xml:space="preserve"> </w:t>
      </w:r>
      <w:r>
        <w:rPr>
          <w:rFonts w:ascii="仿宋_GB2312" w:hAnsi="方正仿宋_GB2312" w:eastAsia="仿宋_GB2312" w:cs="方正仿宋_GB2312"/>
          <w:color w:val="000000" w:themeColor="text1"/>
          <w:sz w:val="28"/>
          <w:szCs w:val="28"/>
        </w:rPr>
        <w:t xml:space="preserve"> 电梯使用单位应当建立基于电梯安全风险防控的动态管理机制，结合本单位实际，落实自查要求，制定《电梯安全风险管控清单》，建立健全日管控、周排查、月调度工作制度和机制。</w:t>
      </w:r>
    </w:p>
    <w:p>
      <w:pPr>
        <w:pStyle w:val="47"/>
        <w:snapToGrid w:val="0"/>
        <w:spacing w:after="0" w:line="360" w:lineRule="auto"/>
        <w:ind w:left="0" w:leftChars="0" w:firstLine="560"/>
        <w:rPr>
          <w:rFonts w:ascii="仿宋_GB2312" w:hAnsi="方正仿宋_GB2312" w:eastAsia="仿宋_GB2312" w:cs="方正仿宋_GB2312"/>
          <w:color w:val="000000" w:themeColor="text1"/>
          <w:sz w:val="28"/>
          <w:szCs w:val="28"/>
        </w:rPr>
      </w:pPr>
      <w:r>
        <w:rPr>
          <w:rFonts w:ascii="仿宋_GB2312" w:hAnsi="方正仿宋_GB2312" w:eastAsia="仿宋_GB2312" w:cs="方正仿宋_GB2312"/>
          <w:color w:val="000000" w:themeColor="text1"/>
          <w:sz w:val="28"/>
          <w:szCs w:val="28"/>
        </w:rPr>
        <w:t>第七十九条</w:t>
      </w:r>
      <w:r>
        <w:rPr>
          <w:rFonts w:hint="eastAsia" w:ascii="仿宋_GB2312" w:hAnsi="方正仿宋_GB2312" w:eastAsia="仿宋_GB2312" w:cs="方正仿宋_GB2312"/>
          <w:color w:val="000000" w:themeColor="text1"/>
          <w:sz w:val="28"/>
          <w:szCs w:val="28"/>
        </w:rPr>
        <w:t xml:space="preserve"> </w:t>
      </w:r>
      <w:r>
        <w:rPr>
          <w:rFonts w:ascii="仿宋_GB2312" w:hAnsi="方正仿宋_GB2312" w:eastAsia="仿宋_GB2312" w:cs="方正仿宋_GB2312"/>
          <w:color w:val="000000" w:themeColor="text1"/>
          <w:sz w:val="28"/>
          <w:szCs w:val="28"/>
        </w:rPr>
        <w:t xml:space="preserve"> 电梯使用单位应当将主要负责人、电梯安全总监和电梯安全员的设立、调整情况，《电梯安全风险管控清单》《电梯安全总监职责》《电梯安全员守则》以及电梯安全总监、电梯安全员提出的意见建议、报告和问题整改落实等履职情况予以记录并存档备查。</w:t>
      </w:r>
    </w:p>
    <w:p>
      <w:pPr>
        <w:pStyle w:val="47"/>
        <w:snapToGrid w:val="0"/>
        <w:spacing w:after="0" w:line="360" w:lineRule="auto"/>
        <w:ind w:left="0" w:leftChars="0" w:firstLine="560"/>
        <w:rPr>
          <w:rFonts w:ascii="仿宋_GB2312" w:hAnsi="方正仿宋_GB2312" w:eastAsia="仿宋_GB2312" w:cs="方正仿宋_GB2312"/>
          <w:color w:val="000000" w:themeColor="text1"/>
          <w:sz w:val="28"/>
          <w:szCs w:val="28"/>
        </w:rPr>
      </w:pPr>
      <w:r>
        <w:rPr>
          <w:rFonts w:ascii="仿宋_GB2312" w:hAnsi="方正仿宋_GB2312" w:eastAsia="仿宋_GB2312" w:cs="方正仿宋_GB2312"/>
          <w:color w:val="000000" w:themeColor="text1"/>
          <w:sz w:val="28"/>
          <w:szCs w:val="28"/>
        </w:rPr>
        <w:t>第八十一条</w:t>
      </w:r>
      <w:r>
        <w:rPr>
          <w:rFonts w:hint="eastAsia" w:ascii="仿宋_GB2312" w:hAnsi="方正仿宋_GB2312" w:eastAsia="仿宋_GB2312" w:cs="方正仿宋_GB2312"/>
          <w:color w:val="000000" w:themeColor="text1"/>
          <w:sz w:val="28"/>
          <w:szCs w:val="28"/>
        </w:rPr>
        <w:t xml:space="preserve"> </w:t>
      </w:r>
      <w:r>
        <w:rPr>
          <w:rFonts w:ascii="仿宋_GB2312" w:hAnsi="方正仿宋_GB2312" w:eastAsia="仿宋_GB2312" w:cs="方正仿宋_GB2312"/>
          <w:color w:val="000000" w:themeColor="text1"/>
          <w:sz w:val="28"/>
          <w:szCs w:val="28"/>
        </w:rPr>
        <w:t xml:space="preserve"> 电梯使用单位应当对电梯安全总监和电梯安全员进行法律法规、标准和专业知识培训、考核，同时对培训、考核情况予以记录并存档备查。</w:t>
      </w:r>
    </w:p>
    <w:p>
      <w:pPr>
        <w:pStyle w:val="47"/>
        <w:snapToGrid w:val="0"/>
        <w:spacing w:after="0" w:line="360" w:lineRule="auto"/>
        <w:ind w:left="0" w:leftChars="0" w:firstLine="560"/>
        <w:rPr>
          <w:rFonts w:ascii="仿宋_GB2312" w:hAnsi="方正仿宋_GB2312" w:eastAsia="仿宋_GB2312" w:cs="方正仿宋_GB2312"/>
          <w:color w:val="000000" w:themeColor="text1"/>
          <w:sz w:val="28"/>
          <w:szCs w:val="28"/>
        </w:rPr>
      </w:pPr>
      <w:r>
        <w:rPr>
          <w:rFonts w:ascii="仿宋_GB2312" w:hAnsi="方正仿宋_GB2312" w:eastAsia="仿宋_GB2312" w:cs="方正仿宋_GB2312"/>
          <w:color w:val="000000" w:themeColor="text1"/>
          <w:sz w:val="28"/>
          <w:szCs w:val="28"/>
        </w:rPr>
        <w:t>第八十二条</w:t>
      </w:r>
      <w:r>
        <w:rPr>
          <w:rFonts w:hint="eastAsia" w:ascii="仿宋_GB2312" w:hAnsi="方正仿宋_GB2312" w:eastAsia="仿宋_GB2312" w:cs="方正仿宋_GB2312"/>
          <w:color w:val="000000" w:themeColor="text1"/>
          <w:sz w:val="28"/>
          <w:szCs w:val="28"/>
        </w:rPr>
        <w:t xml:space="preserve"> </w:t>
      </w:r>
      <w:r>
        <w:rPr>
          <w:rFonts w:ascii="仿宋_GB2312" w:hAnsi="方正仿宋_GB2312" w:eastAsia="仿宋_GB2312" w:cs="方正仿宋_GB2312"/>
          <w:color w:val="000000" w:themeColor="text1"/>
          <w:sz w:val="28"/>
          <w:szCs w:val="28"/>
        </w:rPr>
        <w:t xml:space="preserve"> 电梯使用单位应当为电梯安全总监和电梯安全员提供必要的工作条件、教育培训和岗位待遇，充分保障其依法履行职责。</w:t>
      </w:r>
    </w:p>
    <w:p>
      <w:pPr>
        <w:pStyle w:val="47"/>
        <w:snapToGrid w:val="0"/>
        <w:spacing w:after="0" w:line="360" w:lineRule="auto"/>
        <w:ind w:left="0" w:leftChars="0" w:firstLine="560"/>
        <w:rPr>
          <w:rFonts w:ascii="仿宋_GB2312" w:hAnsi="方正仿宋_GB2312" w:eastAsia="仿宋_GB2312" w:cs="方正仿宋_GB2312"/>
          <w:color w:val="000000" w:themeColor="text1"/>
          <w:sz w:val="28"/>
          <w:szCs w:val="28"/>
        </w:rPr>
      </w:pPr>
      <w:r>
        <w:rPr>
          <w:rFonts w:ascii="仿宋_GB2312" w:hAnsi="方正仿宋_GB2312" w:eastAsia="仿宋_GB2312" w:cs="方正仿宋_GB2312"/>
          <w:color w:val="000000" w:themeColor="text1"/>
          <w:sz w:val="28"/>
          <w:szCs w:val="28"/>
        </w:rPr>
        <w:t>第八十五条</w:t>
      </w:r>
      <w:r>
        <w:rPr>
          <w:rFonts w:hint="eastAsia" w:ascii="仿宋_GB2312" w:hAnsi="方正仿宋_GB2312" w:eastAsia="仿宋_GB2312" w:cs="方正仿宋_GB2312"/>
          <w:color w:val="000000" w:themeColor="text1"/>
          <w:sz w:val="28"/>
          <w:szCs w:val="28"/>
        </w:rPr>
        <w:t xml:space="preserve"> </w:t>
      </w:r>
      <w:r>
        <w:rPr>
          <w:rFonts w:ascii="仿宋_GB2312" w:hAnsi="方正仿宋_GB2312" w:eastAsia="仿宋_GB2312" w:cs="方正仿宋_GB2312"/>
          <w:color w:val="000000" w:themeColor="text1"/>
          <w:sz w:val="28"/>
          <w:szCs w:val="28"/>
        </w:rPr>
        <w:t xml:space="preserve"> 电梯使用单位是指实际行使电梯使用管理权的单位。符合下列情形之一的为电梯使用单位：</w:t>
      </w:r>
    </w:p>
    <w:p>
      <w:pPr>
        <w:pStyle w:val="47"/>
        <w:snapToGrid w:val="0"/>
        <w:spacing w:after="0" w:line="360" w:lineRule="auto"/>
        <w:ind w:left="0" w:leftChars="0" w:firstLine="560"/>
        <w:rPr>
          <w:rFonts w:ascii="仿宋_GB2312" w:hAnsi="方正仿宋_GB2312" w:eastAsia="仿宋_GB2312" w:cs="方正仿宋_GB2312"/>
          <w:color w:val="000000" w:themeColor="text1"/>
          <w:sz w:val="28"/>
          <w:szCs w:val="28"/>
        </w:rPr>
      </w:pPr>
      <w:r>
        <w:rPr>
          <w:rFonts w:ascii="仿宋_GB2312" w:hAnsi="方正仿宋_GB2312" w:eastAsia="仿宋_GB2312" w:cs="方正仿宋_GB2312"/>
          <w:color w:val="000000" w:themeColor="text1"/>
          <w:sz w:val="28"/>
          <w:szCs w:val="28"/>
        </w:rPr>
        <w:t>（三）委托物业服务企业等市场主体管理的，受委托方是使用单位；</w:t>
      </w:r>
    </w:p>
    <w:p>
      <w:pPr>
        <w:pStyle w:val="47"/>
        <w:snapToGrid w:val="0"/>
        <w:spacing w:after="0" w:line="360" w:lineRule="auto"/>
        <w:ind w:left="0" w:leftChars="0" w:firstLine="560"/>
        <w:rPr>
          <w:rFonts w:ascii="仿宋_GB2312" w:hAnsi="方正仿宋_GB2312" w:eastAsia="仿宋_GB2312" w:cs="方正仿宋_GB2312"/>
          <w:color w:val="000000" w:themeColor="text1"/>
          <w:sz w:val="28"/>
          <w:szCs w:val="28"/>
        </w:rPr>
      </w:pPr>
      <w:r>
        <w:rPr>
          <w:rFonts w:ascii="仿宋_GB2312" w:hAnsi="方正仿宋_GB2312" w:eastAsia="仿宋_GB2312" w:cs="方正仿宋_GB2312"/>
          <w:color w:val="000000" w:themeColor="text1"/>
          <w:sz w:val="28"/>
          <w:szCs w:val="28"/>
        </w:rPr>
        <w:t>（五）属于共有产权的，共有人须委托物业服务企业、维护保养单位或者专业公司等市场主体管理电梯，受委托方是使用单位。</w:t>
      </w:r>
    </w:p>
    <w:p>
      <w:pPr>
        <w:pStyle w:val="47"/>
        <w:snapToGrid w:val="0"/>
        <w:spacing w:beforeLines="50" w:after="0" w:line="360" w:lineRule="auto"/>
        <w:ind w:left="0" w:leftChars="0" w:firstLine="562"/>
        <w:rPr>
          <w:rFonts w:ascii="仿宋_GB2312" w:hAnsi="方正仿宋_GB2312" w:eastAsia="仿宋_GB2312" w:cs="方正仿宋_GB2312"/>
          <w:b/>
          <w:color w:val="000000" w:themeColor="text1"/>
          <w:sz w:val="28"/>
          <w:szCs w:val="28"/>
        </w:rPr>
      </w:pPr>
      <w:r>
        <w:rPr>
          <w:rFonts w:hint="eastAsia" w:ascii="仿宋_GB2312" w:hAnsi="方正仿宋_GB2312" w:eastAsia="仿宋_GB2312" w:cs="方正仿宋_GB2312"/>
          <w:b/>
          <w:color w:val="000000" w:themeColor="text1"/>
          <w:sz w:val="28"/>
          <w:szCs w:val="28"/>
        </w:rPr>
        <w:t>根据《电梯日常维护保养规则DB11/T418-2019》：</w:t>
      </w:r>
    </w:p>
    <w:p>
      <w:pPr>
        <w:snapToGrid w:val="0"/>
        <w:spacing w:line="360" w:lineRule="auto"/>
        <w:ind w:left="562"/>
        <w:rPr>
          <w:rFonts w:ascii="仿宋_GB2312" w:eastAsia="仿宋_GB2312"/>
          <w:color w:val="000000" w:themeColor="text1"/>
          <w:sz w:val="28"/>
          <w:szCs w:val="28"/>
        </w:rPr>
      </w:pPr>
      <w:r>
        <w:rPr>
          <w:rFonts w:hint="eastAsia" w:ascii="仿宋_GB2312" w:eastAsia="仿宋_GB2312"/>
          <w:color w:val="000000" w:themeColor="text1"/>
          <w:sz w:val="28"/>
          <w:szCs w:val="28"/>
        </w:rPr>
        <w:t>1.电梯的日常维护保养应符合TSGT5002的规定。</w:t>
      </w:r>
    </w:p>
    <w:p>
      <w:pPr>
        <w:pStyle w:val="47"/>
        <w:snapToGrid w:val="0"/>
        <w:spacing w:after="0" w:line="360" w:lineRule="auto"/>
        <w:ind w:left="0" w:leftChars="0" w:firstLine="560"/>
        <w:rPr>
          <w:rFonts w:ascii="仿宋_GB2312" w:eastAsia="仿宋_GB2312" w:hAnsiTheme="minorHAnsi" w:cstheme="minorBidi"/>
          <w:color w:val="000000" w:themeColor="text1"/>
          <w:sz w:val="28"/>
          <w:szCs w:val="28"/>
        </w:rPr>
      </w:pPr>
      <w:r>
        <w:rPr>
          <w:rFonts w:hint="eastAsia" w:ascii="仿宋_GB2312" w:eastAsia="仿宋_GB2312" w:hAnsiTheme="minorHAnsi" w:cstheme="minorBidi"/>
          <w:color w:val="000000" w:themeColor="text1"/>
          <w:sz w:val="28"/>
          <w:szCs w:val="28"/>
        </w:rPr>
        <w:t>2.电梯的日常维护保养应由依法取得相关资质的单位（以下称维保单位）进行。</w:t>
      </w:r>
    </w:p>
    <w:p>
      <w:pPr>
        <w:pStyle w:val="47"/>
        <w:snapToGrid w:val="0"/>
        <w:spacing w:after="0" w:line="360" w:lineRule="auto"/>
        <w:ind w:left="0" w:leftChars="0" w:firstLine="560"/>
        <w:rPr>
          <w:rFonts w:ascii="仿宋_GB2312" w:eastAsia="仿宋_GB2312" w:hAnsiTheme="minorHAnsi" w:cstheme="minorBidi"/>
          <w:color w:val="000000" w:themeColor="text1"/>
          <w:sz w:val="28"/>
          <w:szCs w:val="28"/>
        </w:rPr>
      </w:pPr>
      <w:r>
        <w:rPr>
          <w:rFonts w:hint="eastAsia" w:ascii="仿宋_GB2312" w:eastAsia="仿宋_GB2312" w:hAnsiTheme="minorHAnsi" w:cstheme="minorBidi"/>
          <w:color w:val="000000" w:themeColor="text1"/>
          <w:sz w:val="28"/>
          <w:szCs w:val="28"/>
        </w:rPr>
        <w:t>3.电梯使用单位应与维保单位签订电梯日常维护保养合同。电梯日常维护保养合同至少应包括内容如下：</w:t>
      </w:r>
    </w:p>
    <w:p>
      <w:pPr>
        <w:pStyle w:val="47"/>
        <w:snapToGrid w:val="0"/>
        <w:spacing w:after="0" w:line="360" w:lineRule="auto"/>
        <w:ind w:left="0" w:leftChars="0" w:firstLine="560"/>
        <w:rPr>
          <w:rFonts w:ascii="仿宋_GB2312" w:eastAsia="仿宋_GB2312" w:hAnsiTheme="minorHAnsi" w:cstheme="minorBidi"/>
          <w:color w:val="000000" w:themeColor="text1"/>
          <w:sz w:val="28"/>
          <w:szCs w:val="28"/>
        </w:rPr>
      </w:pPr>
      <w:r>
        <w:rPr>
          <w:rFonts w:hint="eastAsia" w:ascii="仿宋_GB2312" w:eastAsia="仿宋_GB2312" w:hAnsiTheme="minorHAnsi" w:cstheme="minorBidi"/>
          <w:color w:val="000000" w:themeColor="text1"/>
          <w:sz w:val="28"/>
          <w:szCs w:val="28"/>
        </w:rPr>
        <w:t>——日常维护保养期限；</w:t>
      </w:r>
    </w:p>
    <w:p>
      <w:pPr>
        <w:pStyle w:val="47"/>
        <w:snapToGrid w:val="0"/>
        <w:spacing w:after="0" w:line="360" w:lineRule="auto"/>
        <w:ind w:left="0" w:leftChars="0" w:firstLine="560"/>
        <w:rPr>
          <w:rFonts w:ascii="仿宋_GB2312" w:eastAsia="仿宋_GB2312" w:hAnsiTheme="minorHAnsi" w:cstheme="minorBidi"/>
          <w:color w:val="000000" w:themeColor="text1"/>
          <w:sz w:val="28"/>
          <w:szCs w:val="28"/>
        </w:rPr>
      </w:pPr>
      <w:r>
        <w:rPr>
          <w:rFonts w:hint="eastAsia" w:ascii="仿宋_GB2312" w:eastAsia="仿宋_GB2312" w:hAnsiTheme="minorHAnsi" w:cstheme="minorBidi"/>
          <w:color w:val="000000" w:themeColor="text1"/>
          <w:sz w:val="28"/>
          <w:szCs w:val="28"/>
        </w:rPr>
        <w:t>——日常维护保养内容；</w:t>
      </w:r>
    </w:p>
    <w:p>
      <w:pPr>
        <w:pStyle w:val="47"/>
        <w:snapToGrid w:val="0"/>
        <w:spacing w:after="0" w:line="360" w:lineRule="auto"/>
        <w:ind w:left="0" w:leftChars="0" w:firstLine="560"/>
        <w:rPr>
          <w:rFonts w:ascii="仿宋_GB2312" w:eastAsia="仿宋_GB2312" w:hAnsiTheme="minorHAnsi" w:cstheme="minorBidi"/>
          <w:color w:val="000000" w:themeColor="text1"/>
          <w:sz w:val="28"/>
          <w:szCs w:val="28"/>
        </w:rPr>
      </w:pPr>
      <w:r>
        <w:rPr>
          <w:rFonts w:hint="eastAsia" w:ascii="仿宋_GB2312" w:eastAsia="仿宋_GB2312" w:hAnsiTheme="minorHAnsi" w:cstheme="minorBidi"/>
          <w:color w:val="000000" w:themeColor="text1"/>
          <w:sz w:val="28"/>
          <w:szCs w:val="28"/>
        </w:rPr>
        <w:t>——日常维护保养标准；</w:t>
      </w:r>
    </w:p>
    <w:p>
      <w:pPr>
        <w:pStyle w:val="47"/>
        <w:snapToGrid w:val="0"/>
        <w:spacing w:after="0" w:line="360" w:lineRule="auto"/>
        <w:ind w:left="0" w:leftChars="0" w:firstLine="560"/>
        <w:rPr>
          <w:rFonts w:ascii="仿宋_GB2312" w:eastAsia="仿宋_GB2312" w:hAnsiTheme="minorHAnsi" w:cstheme="minorBidi"/>
          <w:color w:val="000000" w:themeColor="text1"/>
          <w:sz w:val="28"/>
          <w:szCs w:val="28"/>
        </w:rPr>
      </w:pPr>
      <w:r>
        <w:rPr>
          <w:rFonts w:hint="eastAsia" w:ascii="仿宋_GB2312" w:eastAsia="仿宋_GB2312" w:hAnsiTheme="minorHAnsi" w:cstheme="minorBidi"/>
          <w:color w:val="000000" w:themeColor="text1"/>
          <w:sz w:val="28"/>
          <w:szCs w:val="28"/>
        </w:rPr>
        <w:t>——双方责任、权利和义务</w:t>
      </w:r>
    </w:p>
    <w:p>
      <w:pPr>
        <w:pStyle w:val="47"/>
        <w:snapToGrid w:val="0"/>
        <w:spacing w:after="0" w:line="360" w:lineRule="auto"/>
        <w:ind w:left="0" w:leftChars="0" w:firstLine="560"/>
        <w:rPr>
          <w:rFonts w:ascii="仿宋_GB2312" w:eastAsia="仿宋_GB2312" w:hAnsiTheme="minorHAnsi" w:cstheme="minorBidi"/>
          <w:color w:val="000000" w:themeColor="text1"/>
          <w:sz w:val="28"/>
          <w:szCs w:val="28"/>
        </w:rPr>
      </w:pPr>
      <w:r>
        <w:rPr>
          <w:rFonts w:hint="eastAsia" w:ascii="仿宋_GB2312" w:eastAsia="仿宋_GB2312" w:hAnsiTheme="minorHAnsi" w:cstheme="minorBidi"/>
          <w:color w:val="000000" w:themeColor="text1"/>
          <w:sz w:val="28"/>
          <w:szCs w:val="28"/>
        </w:rPr>
        <w:t>——电梯发送故障时的应急处置要求；</w:t>
      </w:r>
    </w:p>
    <w:p>
      <w:pPr>
        <w:pStyle w:val="47"/>
        <w:snapToGrid w:val="0"/>
        <w:spacing w:after="0" w:line="360" w:lineRule="auto"/>
        <w:ind w:left="0" w:leftChars="0" w:firstLine="560"/>
        <w:rPr>
          <w:rFonts w:ascii="仿宋_GB2312" w:eastAsia="仿宋_GB2312" w:hAnsiTheme="minorHAnsi" w:cstheme="minorBidi"/>
          <w:color w:val="000000" w:themeColor="text1"/>
          <w:sz w:val="28"/>
          <w:szCs w:val="28"/>
        </w:rPr>
      </w:pPr>
      <w:r>
        <w:rPr>
          <w:rFonts w:hint="eastAsia" w:ascii="仿宋_GB2312" w:eastAsia="仿宋_GB2312" w:hAnsiTheme="minorHAnsi" w:cstheme="minorBidi"/>
          <w:color w:val="000000" w:themeColor="text1"/>
          <w:sz w:val="28"/>
          <w:szCs w:val="28"/>
        </w:rPr>
        <w:t>——争议及违约的处理方式。</w:t>
      </w:r>
    </w:p>
    <w:p>
      <w:pPr>
        <w:pStyle w:val="47"/>
        <w:snapToGrid w:val="0"/>
        <w:spacing w:after="0" w:line="360" w:lineRule="auto"/>
        <w:ind w:left="0" w:leftChars="0" w:firstLine="560"/>
        <w:rPr>
          <w:rFonts w:ascii="仿宋_GB2312" w:eastAsia="仿宋_GB2312" w:hAnsiTheme="minorHAnsi" w:cstheme="minorBidi"/>
          <w:color w:val="000000" w:themeColor="text1"/>
          <w:sz w:val="28"/>
          <w:szCs w:val="28"/>
        </w:rPr>
      </w:pPr>
      <w:r>
        <w:rPr>
          <w:rFonts w:hint="eastAsia" w:ascii="仿宋_GB2312" w:eastAsia="仿宋_GB2312" w:hAnsiTheme="minorHAnsi" w:cstheme="minorBidi"/>
          <w:color w:val="000000" w:themeColor="text1"/>
          <w:sz w:val="28"/>
          <w:szCs w:val="28"/>
        </w:rPr>
        <w:t>4.使用单位应根据本单位实际情况，建立电梯使用和运营安全管理制度，并且严格执行。安全管理制度至少应包括内容如下：</w:t>
      </w:r>
    </w:p>
    <w:p>
      <w:pPr>
        <w:pStyle w:val="47"/>
        <w:snapToGrid w:val="0"/>
        <w:spacing w:after="0" w:line="360" w:lineRule="auto"/>
        <w:ind w:left="0" w:leftChars="0" w:firstLine="560"/>
        <w:rPr>
          <w:rFonts w:ascii="仿宋_GB2312" w:eastAsia="仿宋_GB2312" w:hAnsiTheme="minorHAnsi" w:cstheme="minorBidi"/>
          <w:color w:val="000000" w:themeColor="text1"/>
          <w:sz w:val="28"/>
          <w:szCs w:val="28"/>
        </w:rPr>
      </w:pPr>
      <w:r>
        <w:rPr>
          <w:rFonts w:hint="eastAsia" w:ascii="仿宋_GB2312" w:eastAsia="仿宋_GB2312" w:hAnsiTheme="minorHAnsi" w:cstheme="minorBidi"/>
          <w:color w:val="000000" w:themeColor="text1"/>
          <w:sz w:val="28"/>
          <w:szCs w:val="28"/>
        </w:rPr>
        <w:t>——相关管理人员的职责；</w:t>
      </w:r>
    </w:p>
    <w:p>
      <w:pPr>
        <w:pStyle w:val="47"/>
        <w:snapToGrid w:val="0"/>
        <w:spacing w:after="0" w:line="360" w:lineRule="auto"/>
        <w:ind w:left="0" w:leftChars="0" w:firstLine="560"/>
        <w:rPr>
          <w:rFonts w:ascii="仿宋_GB2312" w:eastAsia="仿宋_GB2312" w:hAnsiTheme="minorHAnsi" w:cstheme="minorBidi"/>
          <w:color w:val="000000" w:themeColor="text1"/>
          <w:sz w:val="28"/>
          <w:szCs w:val="28"/>
        </w:rPr>
      </w:pPr>
      <w:r>
        <w:rPr>
          <w:rFonts w:hint="eastAsia" w:ascii="仿宋_GB2312" w:eastAsia="仿宋_GB2312" w:hAnsiTheme="minorHAnsi" w:cstheme="minorBidi"/>
          <w:color w:val="000000" w:themeColor="text1"/>
          <w:sz w:val="28"/>
          <w:szCs w:val="28"/>
        </w:rPr>
        <w:t>——安全操作规程；</w:t>
      </w:r>
    </w:p>
    <w:p>
      <w:pPr>
        <w:pStyle w:val="47"/>
        <w:snapToGrid w:val="0"/>
        <w:spacing w:after="0" w:line="360" w:lineRule="auto"/>
        <w:ind w:left="0" w:leftChars="0" w:firstLine="560"/>
        <w:rPr>
          <w:rFonts w:ascii="仿宋_GB2312" w:eastAsia="仿宋_GB2312" w:hAnsiTheme="minorHAnsi" w:cstheme="minorBidi"/>
          <w:color w:val="000000" w:themeColor="text1"/>
          <w:sz w:val="28"/>
          <w:szCs w:val="28"/>
        </w:rPr>
      </w:pPr>
      <w:r>
        <w:rPr>
          <w:rFonts w:hint="eastAsia" w:ascii="仿宋_GB2312" w:eastAsia="仿宋_GB2312" w:hAnsiTheme="minorHAnsi" w:cstheme="minorBidi"/>
          <w:color w:val="000000" w:themeColor="text1"/>
          <w:sz w:val="28"/>
          <w:szCs w:val="28"/>
        </w:rPr>
        <w:t>——日常检查制度；</w:t>
      </w:r>
    </w:p>
    <w:p>
      <w:pPr>
        <w:pStyle w:val="47"/>
        <w:snapToGrid w:val="0"/>
        <w:spacing w:after="0" w:line="360" w:lineRule="auto"/>
        <w:ind w:left="0" w:leftChars="0" w:firstLine="560"/>
        <w:rPr>
          <w:rFonts w:ascii="仿宋_GB2312" w:eastAsia="仿宋_GB2312" w:hAnsiTheme="minorHAnsi" w:cstheme="minorBidi"/>
          <w:color w:val="000000" w:themeColor="text1"/>
          <w:sz w:val="28"/>
          <w:szCs w:val="28"/>
        </w:rPr>
      </w:pPr>
      <w:r>
        <w:rPr>
          <w:rFonts w:hint="eastAsia" w:ascii="仿宋_GB2312" w:eastAsia="仿宋_GB2312" w:hAnsiTheme="minorHAnsi" w:cstheme="minorBidi"/>
          <w:color w:val="000000" w:themeColor="text1"/>
          <w:sz w:val="28"/>
          <w:szCs w:val="28"/>
        </w:rPr>
        <w:t>——维保制度；</w:t>
      </w:r>
    </w:p>
    <w:p>
      <w:pPr>
        <w:pStyle w:val="47"/>
        <w:snapToGrid w:val="0"/>
        <w:spacing w:after="0" w:line="360" w:lineRule="auto"/>
        <w:ind w:left="0" w:leftChars="0" w:firstLine="560"/>
        <w:rPr>
          <w:rFonts w:ascii="仿宋_GB2312" w:eastAsia="仿宋_GB2312" w:hAnsiTheme="minorHAnsi" w:cstheme="minorBidi"/>
          <w:color w:val="000000" w:themeColor="text1"/>
          <w:sz w:val="28"/>
          <w:szCs w:val="28"/>
        </w:rPr>
      </w:pPr>
      <w:r>
        <w:rPr>
          <w:rFonts w:hint="eastAsia" w:ascii="仿宋_GB2312" w:eastAsia="仿宋_GB2312" w:hAnsiTheme="minorHAnsi" w:cstheme="minorBidi"/>
          <w:color w:val="000000" w:themeColor="text1"/>
          <w:sz w:val="28"/>
          <w:szCs w:val="28"/>
        </w:rPr>
        <w:t>——定期报检制度；</w:t>
      </w:r>
    </w:p>
    <w:p>
      <w:pPr>
        <w:pStyle w:val="47"/>
        <w:snapToGrid w:val="0"/>
        <w:spacing w:after="0" w:line="360" w:lineRule="auto"/>
        <w:ind w:left="0" w:leftChars="0" w:firstLine="560"/>
        <w:rPr>
          <w:rFonts w:ascii="仿宋_GB2312" w:eastAsia="仿宋_GB2312" w:hAnsiTheme="minorHAnsi" w:cstheme="minorBidi"/>
          <w:color w:val="000000" w:themeColor="text1"/>
          <w:sz w:val="28"/>
          <w:szCs w:val="28"/>
        </w:rPr>
      </w:pPr>
      <w:r>
        <w:rPr>
          <w:rFonts w:hint="eastAsia" w:ascii="仿宋_GB2312" w:eastAsia="仿宋_GB2312" w:hAnsiTheme="minorHAnsi" w:cstheme="minorBidi"/>
          <w:color w:val="000000" w:themeColor="text1"/>
          <w:sz w:val="28"/>
          <w:szCs w:val="28"/>
        </w:rPr>
        <w:t>——电梯钥匙使用管理制度；</w:t>
      </w:r>
    </w:p>
    <w:p>
      <w:pPr>
        <w:pStyle w:val="47"/>
        <w:snapToGrid w:val="0"/>
        <w:spacing w:after="0" w:line="360" w:lineRule="auto"/>
        <w:ind w:left="0" w:leftChars="0" w:firstLine="560"/>
        <w:rPr>
          <w:rFonts w:ascii="仿宋_GB2312" w:eastAsia="仿宋_GB2312" w:hAnsiTheme="minorHAnsi" w:cstheme="minorBidi"/>
          <w:color w:val="000000" w:themeColor="text1"/>
          <w:sz w:val="28"/>
          <w:szCs w:val="28"/>
        </w:rPr>
      </w:pPr>
      <w:r>
        <w:rPr>
          <w:rFonts w:hint="eastAsia" w:ascii="仿宋_GB2312" w:eastAsia="仿宋_GB2312" w:hAnsiTheme="minorHAnsi" w:cstheme="minorBidi"/>
          <w:color w:val="000000" w:themeColor="text1"/>
          <w:sz w:val="28"/>
          <w:szCs w:val="28"/>
        </w:rPr>
        <w:t>——作业人员及相关运营服务人员的培训考核制度；</w:t>
      </w:r>
    </w:p>
    <w:p>
      <w:pPr>
        <w:pStyle w:val="47"/>
        <w:snapToGrid w:val="0"/>
        <w:spacing w:after="0" w:line="360" w:lineRule="auto"/>
        <w:ind w:left="0" w:leftChars="0" w:firstLine="560"/>
        <w:rPr>
          <w:rFonts w:ascii="仿宋_GB2312" w:eastAsia="仿宋_GB2312" w:hAnsiTheme="minorHAnsi" w:cstheme="minorBidi"/>
          <w:color w:val="000000" w:themeColor="text1"/>
          <w:sz w:val="28"/>
          <w:szCs w:val="28"/>
        </w:rPr>
      </w:pPr>
      <w:r>
        <w:rPr>
          <w:rFonts w:hint="eastAsia" w:ascii="仿宋_GB2312" w:eastAsia="仿宋_GB2312" w:hAnsiTheme="minorHAnsi" w:cstheme="minorBidi"/>
          <w:color w:val="000000" w:themeColor="text1"/>
          <w:sz w:val="28"/>
          <w:szCs w:val="28"/>
        </w:rPr>
        <w:t>——意外事件或事故的应急救援预案及应急救援演习制度；</w:t>
      </w:r>
    </w:p>
    <w:p>
      <w:pPr>
        <w:pStyle w:val="47"/>
        <w:snapToGrid w:val="0"/>
        <w:spacing w:after="0" w:line="360" w:lineRule="auto"/>
        <w:ind w:left="0" w:leftChars="0" w:firstLine="560"/>
        <w:rPr>
          <w:rFonts w:ascii="仿宋_GB2312" w:eastAsia="仿宋_GB2312" w:hAnsiTheme="minorHAnsi" w:cstheme="minorBidi"/>
          <w:color w:val="000000" w:themeColor="text1"/>
          <w:sz w:val="28"/>
          <w:szCs w:val="28"/>
        </w:rPr>
      </w:pPr>
      <w:r>
        <w:rPr>
          <w:rFonts w:hint="eastAsia" w:ascii="仿宋_GB2312" w:eastAsia="仿宋_GB2312" w:hAnsiTheme="minorHAnsi" w:cstheme="minorBidi"/>
          <w:color w:val="000000" w:themeColor="text1"/>
          <w:sz w:val="28"/>
          <w:szCs w:val="28"/>
        </w:rPr>
        <w:t>——安全技术档案管理制度。</w:t>
      </w:r>
    </w:p>
    <w:p>
      <w:pPr>
        <w:pStyle w:val="47"/>
        <w:snapToGrid w:val="0"/>
        <w:spacing w:after="0" w:line="360" w:lineRule="auto"/>
        <w:ind w:left="0" w:leftChars="0" w:firstLine="560"/>
        <w:rPr>
          <w:rFonts w:ascii="仿宋_GB2312" w:eastAsia="仿宋_GB2312" w:hAnsiTheme="minorHAnsi" w:cstheme="minorBidi"/>
          <w:color w:val="000000" w:themeColor="text1"/>
          <w:sz w:val="28"/>
          <w:szCs w:val="28"/>
        </w:rPr>
      </w:pPr>
      <w:r>
        <w:rPr>
          <w:rFonts w:hint="eastAsia" w:ascii="仿宋_GB2312" w:eastAsia="仿宋_GB2312" w:hAnsiTheme="minorHAnsi" w:cstheme="minorBidi"/>
          <w:color w:val="000000" w:themeColor="text1"/>
          <w:sz w:val="28"/>
          <w:szCs w:val="28"/>
        </w:rPr>
        <w:t>5.使用单位应建立特种设备安全技术档案并保证安全技术档案的完整。安全技术档案至少应包括内容如下：</w:t>
      </w:r>
    </w:p>
    <w:p>
      <w:pPr>
        <w:pStyle w:val="47"/>
        <w:snapToGrid w:val="0"/>
        <w:spacing w:after="0" w:line="360" w:lineRule="auto"/>
        <w:ind w:left="0" w:leftChars="0" w:firstLine="560"/>
        <w:rPr>
          <w:rFonts w:ascii="仿宋_GB2312" w:eastAsia="仿宋_GB2312" w:hAnsiTheme="minorHAnsi" w:cstheme="minorBidi"/>
          <w:color w:val="000000" w:themeColor="text1"/>
          <w:sz w:val="28"/>
          <w:szCs w:val="28"/>
        </w:rPr>
      </w:pPr>
      <w:r>
        <w:rPr>
          <w:rFonts w:hint="eastAsia" w:ascii="仿宋_GB2312" w:eastAsia="仿宋_GB2312" w:hAnsiTheme="minorHAnsi" w:cstheme="minorBidi"/>
          <w:color w:val="000000" w:themeColor="text1"/>
          <w:sz w:val="28"/>
          <w:szCs w:val="28"/>
        </w:rPr>
        <w:t>——设计文件、产品质量合格证明、安装及使用维护保养说明、监督检验证明等相关技术资料和文件；</w:t>
      </w:r>
    </w:p>
    <w:p>
      <w:pPr>
        <w:pStyle w:val="47"/>
        <w:snapToGrid w:val="0"/>
        <w:spacing w:after="0" w:line="360" w:lineRule="auto"/>
        <w:ind w:left="0" w:leftChars="0" w:firstLine="560"/>
        <w:rPr>
          <w:rFonts w:ascii="仿宋_GB2312" w:eastAsia="仿宋_GB2312" w:hAnsiTheme="minorHAnsi" w:cstheme="minorBidi"/>
          <w:color w:val="000000" w:themeColor="text1"/>
          <w:sz w:val="28"/>
          <w:szCs w:val="28"/>
        </w:rPr>
      </w:pPr>
      <w:r>
        <w:rPr>
          <w:rFonts w:hint="eastAsia" w:ascii="仿宋_GB2312" w:eastAsia="仿宋_GB2312" w:hAnsiTheme="minorHAnsi" w:cstheme="minorBidi"/>
          <w:color w:val="000000" w:themeColor="text1"/>
          <w:sz w:val="28"/>
          <w:szCs w:val="28"/>
        </w:rPr>
        <w:t>——特种设备使用登记表；</w:t>
      </w:r>
    </w:p>
    <w:p>
      <w:pPr>
        <w:pStyle w:val="47"/>
        <w:snapToGrid w:val="0"/>
        <w:spacing w:after="0" w:line="360" w:lineRule="auto"/>
        <w:ind w:left="0" w:leftChars="0" w:firstLine="560"/>
        <w:rPr>
          <w:rFonts w:ascii="仿宋_GB2312" w:eastAsia="仿宋_GB2312" w:hAnsiTheme="minorHAnsi" w:cstheme="minorBidi"/>
          <w:color w:val="000000" w:themeColor="text1"/>
          <w:sz w:val="28"/>
          <w:szCs w:val="28"/>
        </w:rPr>
      </w:pPr>
      <w:r>
        <w:rPr>
          <w:rFonts w:hint="eastAsia" w:ascii="仿宋_GB2312" w:eastAsia="仿宋_GB2312" w:hAnsiTheme="minorHAnsi" w:cstheme="minorBidi"/>
          <w:color w:val="000000" w:themeColor="text1"/>
          <w:sz w:val="28"/>
          <w:szCs w:val="28"/>
        </w:rPr>
        <w:t>——设备及其零部件、安全保护装置的产品技术文件；</w:t>
      </w:r>
    </w:p>
    <w:p>
      <w:pPr>
        <w:pStyle w:val="47"/>
        <w:snapToGrid w:val="0"/>
        <w:spacing w:after="0" w:line="360" w:lineRule="auto"/>
        <w:ind w:left="0" w:leftChars="0" w:firstLine="560"/>
        <w:rPr>
          <w:rFonts w:ascii="仿宋_GB2312" w:eastAsia="仿宋_GB2312" w:hAnsiTheme="minorHAnsi" w:cstheme="minorBidi"/>
          <w:color w:val="000000" w:themeColor="text1"/>
          <w:sz w:val="28"/>
          <w:szCs w:val="28"/>
        </w:rPr>
      </w:pPr>
      <w:r>
        <w:rPr>
          <w:rFonts w:hint="eastAsia" w:ascii="仿宋_GB2312" w:eastAsia="仿宋_GB2312" w:hAnsiTheme="minorHAnsi" w:cstheme="minorBidi"/>
          <w:color w:val="000000" w:themeColor="text1"/>
          <w:sz w:val="28"/>
          <w:szCs w:val="28"/>
        </w:rPr>
        <w:t>——电梯及其附属仪器仪表的维护保养记录；</w:t>
      </w:r>
    </w:p>
    <w:p>
      <w:pPr>
        <w:pStyle w:val="47"/>
        <w:snapToGrid w:val="0"/>
        <w:spacing w:after="0" w:line="360" w:lineRule="auto"/>
        <w:ind w:left="0" w:leftChars="0" w:firstLine="560"/>
        <w:rPr>
          <w:rFonts w:ascii="仿宋_GB2312" w:eastAsia="仿宋_GB2312" w:hAnsiTheme="minorHAnsi" w:cstheme="minorBidi"/>
          <w:color w:val="000000" w:themeColor="text1"/>
          <w:sz w:val="28"/>
          <w:szCs w:val="28"/>
        </w:rPr>
      </w:pPr>
      <w:r>
        <w:rPr>
          <w:rFonts w:hint="eastAsia" w:ascii="仿宋_GB2312" w:eastAsia="仿宋_GB2312" w:hAnsiTheme="minorHAnsi" w:cstheme="minorBidi"/>
          <w:color w:val="000000" w:themeColor="text1"/>
          <w:sz w:val="28"/>
          <w:szCs w:val="28"/>
        </w:rPr>
        <w:t>——安全附件和安全保护装置校验、检修、更换记录和有关报告；</w:t>
      </w:r>
    </w:p>
    <w:p>
      <w:pPr>
        <w:pStyle w:val="47"/>
        <w:snapToGrid w:val="0"/>
        <w:spacing w:after="0" w:line="360" w:lineRule="auto"/>
        <w:ind w:left="0" w:leftChars="0" w:firstLine="560"/>
        <w:rPr>
          <w:rFonts w:ascii="仿宋_GB2312" w:eastAsia="仿宋_GB2312" w:hAnsiTheme="minorHAnsi" w:cstheme="minorBidi"/>
          <w:color w:val="000000" w:themeColor="text1"/>
          <w:sz w:val="28"/>
          <w:szCs w:val="28"/>
        </w:rPr>
      </w:pPr>
      <w:r>
        <w:rPr>
          <w:rFonts w:hint="eastAsia" w:ascii="仿宋_GB2312" w:eastAsia="仿宋_GB2312" w:hAnsiTheme="minorHAnsi" w:cstheme="minorBidi"/>
          <w:color w:val="000000" w:themeColor="text1"/>
          <w:sz w:val="28"/>
          <w:szCs w:val="28"/>
        </w:rPr>
        <w:t>——安装、改造、重大修理的有关资料、报告等；</w:t>
      </w:r>
    </w:p>
    <w:p>
      <w:pPr>
        <w:pStyle w:val="47"/>
        <w:snapToGrid w:val="0"/>
        <w:spacing w:after="0" w:line="360" w:lineRule="auto"/>
        <w:ind w:left="0" w:leftChars="0" w:firstLine="560"/>
        <w:rPr>
          <w:rFonts w:ascii="仿宋_GB2312" w:eastAsia="仿宋_GB2312" w:hAnsiTheme="minorHAnsi" w:cstheme="minorBidi"/>
          <w:color w:val="000000" w:themeColor="text1"/>
          <w:sz w:val="28"/>
          <w:szCs w:val="28"/>
        </w:rPr>
      </w:pPr>
      <w:r>
        <w:rPr>
          <w:rFonts w:hint="eastAsia" w:ascii="仿宋_GB2312" w:eastAsia="仿宋_GB2312" w:hAnsiTheme="minorHAnsi" w:cstheme="minorBidi"/>
          <w:color w:val="000000" w:themeColor="text1"/>
          <w:sz w:val="28"/>
          <w:szCs w:val="28"/>
        </w:rPr>
        <w:t>——日常检查与使用状况记录、维保记录、年度自行检查记录或者报告书、应急救援演习记录；</w:t>
      </w:r>
    </w:p>
    <w:p>
      <w:pPr>
        <w:pStyle w:val="47"/>
        <w:snapToGrid w:val="0"/>
        <w:spacing w:after="0" w:line="360" w:lineRule="auto"/>
        <w:ind w:left="0" w:leftChars="0" w:firstLine="560"/>
        <w:rPr>
          <w:rFonts w:ascii="仿宋_GB2312" w:eastAsia="仿宋_GB2312" w:hAnsiTheme="minorHAnsi" w:cstheme="minorBidi"/>
          <w:color w:val="000000" w:themeColor="text1"/>
          <w:sz w:val="28"/>
          <w:szCs w:val="28"/>
        </w:rPr>
      </w:pPr>
      <w:r>
        <w:rPr>
          <w:rFonts w:hint="eastAsia" w:ascii="仿宋_GB2312" w:eastAsia="仿宋_GB2312" w:hAnsiTheme="minorHAnsi" w:cstheme="minorBidi"/>
          <w:color w:val="000000" w:themeColor="text1"/>
          <w:sz w:val="28"/>
          <w:szCs w:val="28"/>
        </w:rPr>
        <w:t>——安装、改造、重大修理监督检验报告书，定期检验报告书和定期自行检查记录；</w:t>
      </w:r>
    </w:p>
    <w:p>
      <w:pPr>
        <w:pStyle w:val="47"/>
        <w:snapToGrid w:val="0"/>
        <w:spacing w:after="0" w:line="360" w:lineRule="auto"/>
        <w:ind w:left="0" w:leftChars="0" w:firstLine="560"/>
        <w:rPr>
          <w:rFonts w:ascii="仿宋_GB2312" w:eastAsia="仿宋_GB2312" w:hAnsiTheme="minorHAnsi" w:cstheme="minorBidi"/>
          <w:color w:val="000000" w:themeColor="text1"/>
          <w:sz w:val="28"/>
          <w:szCs w:val="28"/>
        </w:rPr>
      </w:pPr>
      <w:r>
        <w:rPr>
          <w:rFonts w:hint="eastAsia" w:ascii="仿宋_GB2312" w:eastAsia="仿宋_GB2312" w:hAnsiTheme="minorHAnsi" w:cstheme="minorBidi"/>
          <w:color w:val="000000" w:themeColor="text1"/>
          <w:sz w:val="28"/>
          <w:szCs w:val="28"/>
        </w:rPr>
        <w:t>——故障和事故记录及事故处理报告。</w:t>
      </w:r>
    </w:p>
    <w:p>
      <w:pPr>
        <w:pStyle w:val="47"/>
        <w:snapToGrid w:val="0"/>
        <w:spacing w:after="0" w:line="360" w:lineRule="auto"/>
        <w:ind w:left="0" w:leftChars="0" w:firstLine="560"/>
        <w:rPr>
          <w:rFonts w:ascii="仿宋_GB2312" w:eastAsia="仿宋_GB2312" w:hAnsiTheme="minorHAnsi" w:cstheme="minorBidi"/>
          <w:color w:val="000000" w:themeColor="text1"/>
          <w:sz w:val="28"/>
          <w:szCs w:val="28"/>
        </w:rPr>
      </w:pPr>
      <w:r>
        <w:rPr>
          <w:rFonts w:hint="eastAsia" w:ascii="仿宋_GB2312" w:eastAsia="仿宋_GB2312" w:hAnsiTheme="minorHAnsi" w:cstheme="minorBidi"/>
          <w:color w:val="000000" w:themeColor="text1"/>
          <w:sz w:val="28"/>
          <w:szCs w:val="28"/>
        </w:rPr>
        <w:t>6.日常检查与使用状况记录、维保记录、年度自行检查记录或者报告书、应急救援演习记录、定期检验报告书、设备运行故障记录应至少保存4年，其他资料应长期保存。</w:t>
      </w:r>
    </w:p>
    <w:p>
      <w:pPr>
        <w:pStyle w:val="47"/>
        <w:snapToGrid w:val="0"/>
        <w:spacing w:after="0" w:line="360" w:lineRule="auto"/>
        <w:ind w:left="0" w:leftChars="0" w:firstLine="560"/>
        <w:rPr>
          <w:rFonts w:ascii="仿宋_GB2312" w:eastAsia="仿宋_GB2312" w:hAnsiTheme="minorHAnsi" w:cstheme="minorBidi"/>
          <w:color w:val="000000" w:themeColor="text1"/>
          <w:sz w:val="28"/>
          <w:szCs w:val="28"/>
        </w:rPr>
      </w:pPr>
      <w:r>
        <w:rPr>
          <w:rFonts w:hint="eastAsia" w:ascii="仿宋_GB2312" w:eastAsia="仿宋_GB2312" w:hAnsiTheme="minorHAnsi" w:cstheme="minorBidi"/>
          <w:color w:val="000000" w:themeColor="text1"/>
          <w:sz w:val="28"/>
          <w:szCs w:val="28"/>
        </w:rPr>
        <w:t>使用单位变更时，应随机移交安全技术档案。</w:t>
      </w:r>
    </w:p>
    <w:p>
      <w:pPr>
        <w:pStyle w:val="47"/>
        <w:snapToGrid w:val="0"/>
        <w:spacing w:after="0" w:line="360" w:lineRule="auto"/>
        <w:ind w:left="0" w:leftChars="0" w:firstLine="560"/>
        <w:rPr>
          <w:rFonts w:ascii="仿宋_GB2312" w:eastAsia="仿宋_GB2312" w:hAnsiTheme="minorHAnsi" w:cstheme="minorBidi"/>
          <w:color w:val="000000" w:themeColor="text1"/>
          <w:sz w:val="28"/>
          <w:szCs w:val="28"/>
        </w:rPr>
      </w:pPr>
      <w:r>
        <w:rPr>
          <w:rFonts w:hint="eastAsia" w:ascii="仿宋_GB2312" w:eastAsia="仿宋_GB2312" w:hAnsiTheme="minorHAnsi" w:cstheme="minorBidi"/>
          <w:color w:val="000000" w:themeColor="text1"/>
          <w:sz w:val="28"/>
          <w:szCs w:val="28"/>
        </w:rPr>
        <w:t>7.使用单位工作要求如下：</w:t>
      </w:r>
    </w:p>
    <w:p>
      <w:pPr>
        <w:pStyle w:val="47"/>
        <w:snapToGrid w:val="0"/>
        <w:spacing w:after="0" w:line="360" w:lineRule="auto"/>
        <w:ind w:left="0" w:leftChars="0" w:firstLine="560"/>
        <w:rPr>
          <w:rFonts w:ascii="仿宋_GB2312" w:eastAsia="仿宋_GB2312" w:hAnsiTheme="minorHAnsi" w:cstheme="minorBidi"/>
          <w:color w:val="000000" w:themeColor="text1"/>
          <w:sz w:val="28"/>
          <w:szCs w:val="28"/>
        </w:rPr>
      </w:pPr>
      <w:r>
        <w:rPr>
          <w:rFonts w:hint="eastAsia" w:ascii="仿宋_GB2312" w:eastAsia="仿宋_GB2312" w:hAnsiTheme="minorHAnsi" w:cstheme="minorBidi"/>
          <w:color w:val="000000" w:themeColor="text1"/>
          <w:sz w:val="28"/>
          <w:szCs w:val="28"/>
        </w:rPr>
        <w:t>——应保持电梯紧急报警装置能够随时与使用单位安全管理机构或人员实现有效联系；</w:t>
      </w:r>
    </w:p>
    <w:p>
      <w:pPr>
        <w:pStyle w:val="47"/>
        <w:snapToGrid w:val="0"/>
        <w:spacing w:after="0" w:line="360" w:lineRule="auto"/>
        <w:ind w:left="0" w:leftChars="0" w:firstLine="560"/>
        <w:rPr>
          <w:rFonts w:ascii="仿宋_GB2312" w:eastAsia="仿宋_GB2312" w:hAnsiTheme="minorHAnsi" w:cstheme="minorBidi"/>
          <w:color w:val="000000" w:themeColor="text1"/>
          <w:sz w:val="28"/>
          <w:szCs w:val="28"/>
        </w:rPr>
      </w:pPr>
      <w:r>
        <w:rPr>
          <w:rFonts w:hint="eastAsia" w:ascii="仿宋_GB2312" w:eastAsia="仿宋_GB2312" w:hAnsiTheme="minorHAnsi" w:cstheme="minorBidi"/>
          <w:color w:val="000000" w:themeColor="text1"/>
          <w:sz w:val="28"/>
          <w:szCs w:val="28"/>
        </w:rPr>
        <w:t>——应在电梯轿厢内或者出入口的明显位置张贴有效的特种设备使用标志；</w:t>
      </w:r>
    </w:p>
    <w:p>
      <w:pPr>
        <w:pStyle w:val="47"/>
        <w:snapToGrid w:val="0"/>
        <w:spacing w:after="0" w:line="360" w:lineRule="auto"/>
        <w:ind w:left="0" w:leftChars="0" w:firstLine="560"/>
        <w:rPr>
          <w:rFonts w:ascii="仿宋_GB2312" w:eastAsia="仿宋_GB2312" w:hAnsiTheme="minorHAnsi" w:cstheme="minorBidi"/>
          <w:color w:val="000000" w:themeColor="text1"/>
          <w:sz w:val="28"/>
          <w:szCs w:val="28"/>
        </w:rPr>
      </w:pPr>
      <w:r>
        <w:rPr>
          <w:rFonts w:hint="eastAsia" w:ascii="仿宋_GB2312" w:eastAsia="仿宋_GB2312" w:hAnsiTheme="minorHAnsi" w:cstheme="minorBidi"/>
          <w:color w:val="000000" w:themeColor="text1"/>
          <w:sz w:val="28"/>
          <w:szCs w:val="28"/>
        </w:rPr>
        <w:t>——应将电梯使用的安全注意事项和警示标志置于乘客易于注意的显著位置；</w:t>
      </w:r>
    </w:p>
    <w:p>
      <w:pPr>
        <w:pStyle w:val="47"/>
        <w:snapToGrid w:val="0"/>
        <w:spacing w:after="0" w:line="360" w:lineRule="auto"/>
        <w:ind w:left="0" w:leftChars="0" w:firstLine="560"/>
        <w:rPr>
          <w:rFonts w:ascii="仿宋_GB2312" w:eastAsia="仿宋_GB2312" w:hAnsiTheme="minorHAnsi" w:cstheme="minorBidi"/>
          <w:color w:val="000000" w:themeColor="text1"/>
          <w:sz w:val="28"/>
          <w:szCs w:val="28"/>
        </w:rPr>
      </w:pPr>
      <w:r>
        <w:rPr>
          <w:rFonts w:hint="eastAsia" w:ascii="仿宋_GB2312" w:eastAsia="仿宋_GB2312" w:hAnsiTheme="minorHAnsi" w:cstheme="minorBidi"/>
          <w:color w:val="000000" w:themeColor="text1"/>
          <w:sz w:val="28"/>
          <w:szCs w:val="28"/>
        </w:rPr>
        <w:t>——应在电梯显著位置标明使用管理单位名称、应急救援电话和维保单位名称及其急修、投诉电话；</w:t>
      </w:r>
    </w:p>
    <w:p>
      <w:pPr>
        <w:pStyle w:val="47"/>
        <w:snapToGrid w:val="0"/>
        <w:spacing w:after="0" w:line="360" w:lineRule="auto"/>
        <w:ind w:left="0" w:leftChars="0" w:firstLine="560"/>
        <w:rPr>
          <w:rFonts w:ascii="仿宋_GB2312" w:eastAsia="仿宋_GB2312" w:hAnsiTheme="minorHAnsi" w:cstheme="minorBidi"/>
          <w:color w:val="000000" w:themeColor="text1"/>
          <w:sz w:val="28"/>
          <w:szCs w:val="28"/>
        </w:rPr>
      </w:pPr>
      <w:r>
        <w:rPr>
          <w:rFonts w:hint="eastAsia" w:ascii="仿宋_GB2312" w:eastAsia="仿宋_GB2312" w:hAnsiTheme="minorHAnsi" w:cstheme="minorBidi"/>
          <w:color w:val="000000" w:themeColor="text1"/>
          <w:sz w:val="28"/>
          <w:szCs w:val="28"/>
        </w:rPr>
        <w:t>——应制定出现突发事件或事故的应急措施与救援预案，住宅项目可根据本单位条件和所使用电梯的特点，适时进行救援演练；</w:t>
      </w:r>
    </w:p>
    <w:p>
      <w:pPr>
        <w:pStyle w:val="47"/>
        <w:snapToGrid w:val="0"/>
        <w:spacing w:after="0" w:line="360" w:lineRule="auto"/>
        <w:ind w:left="0" w:leftChars="0" w:firstLine="560"/>
        <w:rPr>
          <w:rFonts w:ascii="仿宋_GB2312" w:eastAsia="仿宋_GB2312" w:hAnsiTheme="minorHAnsi" w:cstheme="minorBidi"/>
          <w:color w:val="000000" w:themeColor="text1"/>
          <w:sz w:val="28"/>
          <w:szCs w:val="28"/>
        </w:rPr>
      </w:pPr>
      <w:r>
        <w:rPr>
          <w:rFonts w:hint="eastAsia" w:ascii="仿宋_GB2312" w:eastAsia="仿宋_GB2312" w:hAnsiTheme="minorHAnsi" w:cstheme="minorBidi"/>
          <w:color w:val="000000" w:themeColor="text1"/>
          <w:sz w:val="28"/>
          <w:szCs w:val="28"/>
        </w:rPr>
        <w:t>——电梯发生故障时，应立即采取措施，安抚乘客，组织电梯维修作业人员实施救援；</w:t>
      </w:r>
    </w:p>
    <w:p>
      <w:pPr>
        <w:pStyle w:val="47"/>
        <w:snapToGrid w:val="0"/>
        <w:spacing w:after="0" w:line="360" w:lineRule="auto"/>
        <w:ind w:left="0" w:leftChars="0" w:firstLine="560"/>
        <w:rPr>
          <w:rFonts w:ascii="仿宋_GB2312" w:eastAsia="仿宋_GB2312" w:hAnsiTheme="minorHAnsi" w:cstheme="minorBidi"/>
          <w:color w:val="000000" w:themeColor="text1"/>
          <w:sz w:val="28"/>
          <w:szCs w:val="28"/>
        </w:rPr>
      </w:pPr>
      <w:r>
        <w:rPr>
          <w:rFonts w:hint="eastAsia" w:ascii="仿宋_GB2312" w:eastAsia="仿宋_GB2312" w:hAnsiTheme="minorHAnsi" w:cstheme="minorBidi"/>
          <w:color w:val="000000" w:themeColor="text1"/>
          <w:sz w:val="28"/>
          <w:szCs w:val="28"/>
        </w:rPr>
        <w:t>——在电梯出现故障或者发生异常情况时，应组织对其进行全面检查，消除电梯事故隐患后，方可重新投入使用；</w:t>
      </w:r>
    </w:p>
    <w:p>
      <w:pPr>
        <w:pStyle w:val="47"/>
        <w:snapToGrid w:val="0"/>
        <w:spacing w:after="0" w:line="360" w:lineRule="auto"/>
        <w:ind w:left="0" w:leftChars="0" w:firstLine="560"/>
        <w:rPr>
          <w:rFonts w:ascii="仿宋_GB2312" w:eastAsia="仿宋_GB2312" w:hAnsiTheme="minorHAnsi" w:cstheme="minorBidi"/>
          <w:color w:val="000000" w:themeColor="text1"/>
          <w:sz w:val="28"/>
          <w:szCs w:val="28"/>
        </w:rPr>
      </w:pPr>
      <w:r>
        <w:rPr>
          <w:rFonts w:hint="eastAsia" w:ascii="仿宋_GB2312" w:eastAsia="仿宋_GB2312" w:hAnsiTheme="minorHAnsi" w:cstheme="minorBidi"/>
          <w:color w:val="000000" w:themeColor="text1"/>
          <w:sz w:val="28"/>
          <w:szCs w:val="28"/>
        </w:rPr>
        <w:t>——电梯发生事故时，应按照应急救援预案组织应急救援，排险和抢救，保护事故现场，并立即报告事故所在地特种设备安全监督管理部门和其他有关部门；</w:t>
      </w:r>
    </w:p>
    <w:p>
      <w:pPr>
        <w:pStyle w:val="47"/>
        <w:snapToGrid w:val="0"/>
        <w:spacing w:after="0" w:line="360" w:lineRule="auto"/>
        <w:ind w:left="0" w:leftChars="0" w:firstLine="560"/>
        <w:rPr>
          <w:rFonts w:ascii="仿宋_GB2312" w:eastAsia="仿宋_GB2312" w:hAnsiTheme="minorHAnsi" w:cstheme="minorBidi"/>
          <w:color w:val="000000" w:themeColor="text1"/>
          <w:sz w:val="28"/>
          <w:szCs w:val="28"/>
        </w:rPr>
      </w:pPr>
      <w:r>
        <w:rPr>
          <w:rFonts w:hint="eastAsia" w:ascii="仿宋_GB2312" w:eastAsia="仿宋_GB2312" w:hAnsiTheme="minorHAnsi" w:cstheme="minorBidi"/>
          <w:color w:val="000000" w:themeColor="text1"/>
          <w:sz w:val="28"/>
          <w:szCs w:val="28"/>
        </w:rPr>
        <w:t>——应监督并且配合电梯安装、改造、修理和维保工作；</w:t>
      </w:r>
    </w:p>
    <w:p>
      <w:pPr>
        <w:pStyle w:val="47"/>
        <w:snapToGrid w:val="0"/>
        <w:spacing w:after="0" w:line="360" w:lineRule="auto"/>
        <w:ind w:left="0" w:leftChars="0" w:firstLine="560"/>
        <w:rPr>
          <w:rFonts w:ascii="仿宋_GB2312" w:eastAsia="仿宋_GB2312" w:hAnsiTheme="minorHAnsi" w:cstheme="minorBidi"/>
          <w:color w:val="000000" w:themeColor="text1"/>
          <w:sz w:val="28"/>
          <w:szCs w:val="28"/>
        </w:rPr>
      </w:pPr>
      <w:r>
        <w:rPr>
          <w:rFonts w:hint="eastAsia" w:ascii="仿宋_GB2312" w:eastAsia="仿宋_GB2312" w:hAnsiTheme="minorHAnsi" w:cstheme="minorBidi"/>
          <w:color w:val="000000" w:themeColor="text1"/>
          <w:sz w:val="28"/>
          <w:szCs w:val="28"/>
        </w:rPr>
        <w:t>——应对电梯安全管理员进行电梯安全教育和培训；</w:t>
      </w:r>
    </w:p>
    <w:p>
      <w:pPr>
        <w:pStyle w:val="47"/>
        <w:snapToGrid w:val="0"/>
        <w:spacing w:after="0" w:line="360" w:lineRule="auto"/>
        <w:ind w:left="0" w:leftChars="0" w:firstLine="560"/>
        <w:rPr>
          <w:rFonts w:ascii="仿宋_GB2312" w:eastAsia="仿宋_GB2312" w:hAnsiTheme="minorHAnsi" w:cstheme="minorBidi"/>
          <w:color w:val="000000" w:themeColor="text1"/>
          <w:sz w:val="28"/>
          <w:szCs w:val="28"/>
        </w:rPr>
      </w:pPr>
      <w:r>
        <w:rPr>
          <w:rFonts w:hint="eastAsia" w:ascii="仿宋_GB2312" w:eastAsia="仿宋_GB2312" w:hAnsiTheme="minorHAnsi" w:cstheme="minorBidi"/>
          <w:color w:val="000000" w:themeColor="text1"/>
          <w:sz w:val="28"/>
          <w:szCs w:val="28"/>
        </w:rPr>
        <w:t>——应按照安全技术规范的要求，及时采用新的安全与节能技术，对在用电梯进行必要的改造或者更新，提高在用电梯的安全与节能水平。</w:t>
      </w:r>
    </w:p>
    <w:p>
      <w:pPr>
        <w:pStyle w:val="47"/>
        <w:snapToGrid w:val="0"/>
        <w:spacing w:after="0" w:line="360" w:lineRule="auto"/>
        <w:ind w:left="0" w:leftChars="0" w:firstLine="560"/>
        <w:rPr>
          <w:rFonts w:ascii="仿宋_GB2312" w:eastAsia="仿宋_GB2312" w:hAnsiTheme="minorHAnsi" w:cstheme="minorBidi"/>
          <w:color w:val="000000" w:themeColor="text1"/>
          <w:sz w:val="28"/>
          <w:szCs w:val="28"/>
        </w:rPr>
      </w:pPr>
      <w:r>
        <w:rPr>
          <w:rFonts w:hint="eastAsia" w:ascii="仿宋_GB2312" w:eastAsia="仿宋_GB2312" w:hAnsiTheme="minorHAnsi" w:cstheme="minorBidi"/>
          <w:color w:val="000000" w:themeColor="text1"/>
          <w:sz w:val="28"/>
          <w:szCs w:val="28"/>
        </w:rPr>
        <w:t>——应保证电梯的用电、消防、防雷、通风、通讯和报警等系统安全可靠，并保证机房、井道、底坑无漏水、渗水现象，通往机房、底坑、滑轮间、井道安全门的通道畅通无阻、照明充分。</w:t>
      </w:r>
    </w:p>
    <w:p>
      <w:pPr>
        <w:pStyle w:val="47"/>
        <w:snapToGrid w:val="0"/>
        <w:spacing w:after="0" w:line="360" w:lineRule="auto"/>
        <w:ind w:left="0" w:leftChars="0" w:firstLine="560"/>
        <w:rPr>
          <w:rFonts w:ascii="仿宋_GB2312" w:eastAsia="仿宋_GB2312"/>
          <w:color w:val="000000" w:themeColor="text1"/>
          <w:sz w:val="28"/>
          <w:szCs w:val="28"/>
        </w:rPr>
      </w:pPr>
      <w:r>
        <w:rPr>
          <w:rFonts w:hint="eastAsia" w:ascii="仿宋_GB2312" w:eastAsia="仿宋_GB2312" w:hAnsiTheme="minorHAnsi" w:cstheme="minorBidi"/>
          <w:color w:val="000000" w:themeColor="text1"/>
          <w:sz w:val="28"/>
          <w:szCs w:val="28"/>
        </w:rPr>
        <w:t>8.</w:t>
      </w:r>
      <w:r>
        <w:rPr>
          <w:rFonts w:hint="eastAsia" w:ascii="仿宋_GB2312" w:eastAsia="仿宋_GB2312"/>
          <w:color w:val="000000" w:themeColor="text1"/>
          <w:sz w:val="28"/>
          <w:szCs w:val="28"/>
        </w:rPr>
        <w:t>使用单位应向维保单位提供资料如下：</w:t>
      </w:r>
    </w:p>
    <w:p>
      <w:pPr>
        <w:pStyle w:val="47"/>
        <w:snapToGrid w:val="0"/>
        <w:spacing w:after="0" w:line="360" w:lineRule="auto"/>
        <w:ind w:left="0" w:leftChars="0" w:firstLine="560"/>
        <w:rPr>
          <w:rFonts w:ascii="仿宋_GB2312" w:eastAsia="仿宋_GB2312"/>
          <w:color w:val="000000" w:themeColor="text1"/>
          <w:sz w:val="28"/>
          <w:szCs w:val="28"/>
        </w:rPr>
      </w:pPr>
      <w:r>
        <w:rPr>
          <w:rFonts w:hint="eastAsia" w:ascii="仿宋_GB2312" w:eastAsia="仿宋_GB2312"/>
          <w:color w:val="000000" w:themeColor="text1"/>
          <w:sz w:val="28"/>
          <w:szCs w:val="28"/>
        </w:rPr>
        <w:t>——产品合格证；</w:t>
      </w:r>
    </w:p>
    <w:p>
      <w:pPr>
        <w:pStyle w:val="47"/>
        <w:snapToGrid w:val="0"/>
        <w:spacing w:after="0" w:line="360" w:lineRule="auto"/>
        <w:ind w:left="0" w:leftChars="0" w:firstLine="560"/>
        <w:rPr>
          <w:rFonts w:ascii="仿宋_GB2312" w:eastAsia="仿宋_GB2312"/>
          <w:color w:val="000000" w:themeColor="text1"/>
          <w:sz w:val="28"/>
          <w:szCs w:val="28"/>
        </w:rPr>
      </w:pPr>
      <w:r>
        <w:rPr>
          <w:rFonts w:hint="eastAsia" w:ascii="仿宋_GB2312" w:eastAsia="仿宋_GB2312"/>
          <w:color w:val="000000" w:themeColor="text1"/>
          <w:sz w:val="28"/>
          <w:szCs w:val="28"/>
        </w:rPr>
        <w:t>——使用维护说明书；</w:t>
      </w:r>
    </w:p>
    <w:p>
      <w:pPr>
        <w:pStyle w:val="47"/>
        <w:snapToGrid w:val="0"/>
        <w:spacing w:after="0" w:line="360" w:lineRule="auto"/>
        <w:ind w:left="0" w:leftChars="0" w:firstLine="560"/>
        <w:rPr>
          <w:rFonts w:ascii="仿宋_GB2312" w:eastAsia="仿宋_GB2312"/>
          <w:color w:val="000000" w:themeColor="text1"/>
          <w:sz w:val="28"/>
          <w:szCs w:val="28"/>
        </w:rPr>
      </w:pPr>
      <w:r>
        <w:rPr>
          <w:rFonts w:hint="eastAsia" w:ascii="仿宋_GB2312" w:eastAsia="仿宋_GB2312"/>
          <w:color w:val="000000" w:themeColor="text1"/>
          <w:sz w:val="28"/>
          <w:szCs w:val="28"/>
        </w:rPr>
        <w:t>——电气原理图；</w:t>
      </w:r>
    </w:p>
    <w:p>
      <w:pPr>
        <w:pStyle w:val="47"/>
        <w:snapToGrid w:val="0"/>
        <w:spacing w:after="0" w:line="360" w:lineRule="auto"/>
        <w:ind w:left="0" w:leftChars="0" w:firstLine="560"/>
        <w:rPr>
          <w:rFonts w:ascii="仿宋_GB2312" w:eastAsia="仿宋_GB2312"/>
          <w:color w:val="000000" w:themeColor="text1"/>
          <w:sz w:val="28"/>
          <w:szCs w:val="28"/>
        </w:rPr>
      </w:pPr>
      <w:r>
        <w:rPr>
          <w:rFonts w:hint="eastAsia" w:ascii="仿宋_GB2312" w:eastAsia="仿宋_GB2312"/>
          <w:color w:val="000000" w:themeColor="text1"/>
          <w:sz w:val="28"/>
          <w:szCs w:val="28"/>
        </w:rPr>
        <w:t>——电气敷设图；</w:t>
      </w:r>
    </w:p>
    <w:p>
      <w:pPr>
        <w:pStyle w:val="47"/>
        <w:snapToGrid w:val="0"/>
        <w:spacing w:after="0" w:line="360" w:lineRule="auto"/>
        <w:ind w:left="0" w:leftChars="0" w:firstLine="560"/>
        <w:rPr>
          <w:rFonts w:ascii="仿宋_GB2312" w:eastAsia="仿宋_GB2312"/>
          <w:color w:val="000000" w:themeColor="text1"/>
          <w:sz w:val="28"/>
          <w:szCs w:val="28"/>
        </w:rPr>
      </w:pPr>
      <w:r>
        <w:rPr>
          <w:rFonts w:hint="eastAsia" w:ascii="仿宋_GB2312" w:eastAsia="仿宋_GB2312"/>
          <w:color w:val="000000" w:themeColor="text1"/>
          <w:sz w:val="28"/>
          <w:szCs w:val="28"/>
        </w:rPr>
        <w:t>——安装说明书；</w:t>
      </w:r>
    </w:p>
    <w:p>
      <w:pPr>
        <w:pStyle w:val="47"/>
        <w:snapToGrid w:val="0"/>
        <w:spacing w:after="0" w:line="360" w:lineRule="auto"/>
        <w:ind w:left="0" w:leftChars="0" w:firstLine="560"/>
        <w:rPr>
          <w:rFonts w:ascii="仿宋_GB2312" w:eastAsia="仿宋_GB2312"/>
          <w:color w:val="000000" w:themeColor="text1"/>
          <w:sz w:val="28"/>
          <w:szCs w:val="28"/>
        </w:rPr>
      </w:pPr>
      <w:r>
        <w:rPr>
          <w:rFonts w:hint="eastAsia" w:ascii="仿宋_GB2312" w:eastAsia="仿宋_GB2312"/>
          <w:color w:val="000000" w:themeColor="text1"/>
          <w:sz w:val="28"/>
          <w:szCs w:val="28"/>
        </w:rPr>
        <w:t>——电梯整机、安全部件和主要部件型式试验报告结论副本或结论复印件；</w:t>
      </w:r>
    </w:p>
    <w:p>
      <w:pPr>
        <w:pStyle w:val="47"/>
        <w:snapToGrid w:val="0"/>
        <w:spacing w:after="0" w:line="360" w:lineRule="auto"/>
        <w:ind w:left="0" w:leftChars="0" w:firstLine="560"/>
        <w:rPr>
          <w:rFonts w:ascii="仿宋_GB2312" w:eastAsia="仿宋_GB2312"/>
          <w:color w:val="000000" w:themeColor="text1"/>
          <w:sz w:val="28"/>
          <w:szCs w:val="28"/>
        </w:rPr>
      </w:pPr>
      <w:r>
        <w:rPr>
          <w:rFonts w:hint="eastAsia" w:ascii="仿宋_GB2312" w:eastAsia="仿宋_GB2312"/>
          <w:color w:val="000000" w:themeColor="text1"/>
          <w:sz w:val="28"/>
          <w:szCs w:val="28"/>
        </w:rPr>
        <w:t>——电梯运行记录；</w:t>
      </w:r>
    </w:p>
    <w:p>
      <w:pPr>
        <w:pStyle w:val="47"/>
        <w:snapToGrid w:val="0"/>
        <w:spacing w:after="0" w:line="360" w:lineRule="auto"/>
        <w:ind w:left="0" w:leftChars="0" w:firstLine="560"/>
        <w:rPr>
          <w:rFonts w:ascii="仿宋_GB2312" w:eastAsia="仿宋_GB2312" w:hAnsiTheme="minorHAnsi" w:cstheme="minorBidi"/>
          <w:b/>
          <w:color w:val="000000" w:themeColor="text1"/>
          <w:sz w:val="28"/>
          <w:szCs w:val="28"/>
        </w:rPr>
      </w:pPr>
      <w:r>
        <w:rPr>
          <w:rFonts w:hint="eastAsia" w:ascii="仿宋_GB2312" w:eastAsia="仿宋_GB2312"/>
          <w:color w:val="000000" w:themeColor="text1"/>
          <w:sz w:val="28"/>
          <w:szCs w:val="28"/>
        </w:rPr>
        <w:t>——故障及事故记录等。</w:t>
      </w:r>
    </w:p>
    <w:p>
      <w:pPr>
        <w:pStyle w:val="47"/>
        <w:snapToGrid w:val="0"/>
        <w:spacing w:after="0" w:line="360" w:lineRule="auto"/>
        <w:ind w:left="0" w:leftChars="0" w:firstLine="560"/>
        <w:rPr>
          <w:rFonts w:ascii="仿宋_GB2312" w:eastAsia="仿宋_GB2312"/>
          <w:color w:val="000000" w:themeColor="text1"/>
          <w:sz w:val="28"/>
          <w:szCs w:val="28"/>
        </w:rPr>
      </w:pPr>
      <w:r>
        <w:rPr>
          <w:rFonts w:hint="eastAsia" w:ascii="仿宋_GB2312" w:eastAsia="仿宋_GB2312" w:hAnsiTheme="minorHAnsi" w:cstheme="minorBidi"/>
          <w:color w:val="000000" w:themeColor="text1"/>
          <w:sz w:val="28"/>
          <w:szCs w:val="28"/>
        </w:rPr>
        <w:t>9.</w:t>
      </w:r>
      <w:r>
        <w:rPr>
          <w:rFonts w:hint="eastAsia" w:ascii="仿宋_GB2312" w:eastAsia="仿宋_GB2312"/>
          <w:color w:val="000000" w:themeColor="text1"/>
          <w:sz w:val="28"/>
          <w:szCs w:val="28"/>
        </w:rPr>
        <w:t>使用单位应配备安全管理负责人，使用单位安全管理负责人对本单位电梯的安全全面负责。</w:t>
      </w:r>
    </w:p>
    <w:p>
      <w:pPr>
        <w:pStyle w:val="47"/>
        <w:snapToGrid w:val="0"/>
        <w:spacing w:after="0" w:line="360" w:lineRule="auto"/>
        <w:ind w:left="0" w:leftChars="0" w:firstLine="560"/>
        <w:rPr>
          <w:rFonts w:ascii="仿宋_GB2312" w:eastAsia="仿宋_GB2312"/>
          <w:color w:val="000000" w:themeColor="text1"/>
          <w:sz w:val="28"/>
          <w:szCs w:val="28"/>
        </w:rPr>
      </w:pPr>
      <w:r>
        <w:rPr>
          <w:rFonts w:hint="eastAsia" w:ascii="仿宋_GB2312" w:eastAsia="仿宋_GB2312"/>
          <w:color w:val="000000" w:themeColor="text1"/>
          <w:sz w:val="28"/>
          <w:szCs w:val="28"/>
        </w:rPr>
        <w:t>安全管理负责人工作要求如下：</w:t>
      </w:r>
    </w:p>
    <w:p>
      <w:pPr>
        <w:pStyle w:val="47"/>
        <w:snapToGrid w:val="0"/>
        <w:spacing w:after="0" w:line="360" w:lineRule="auto"/>
        <w:ind w:left="0" w:leftChars="0" w:firstLine="560"/>
        <w:rPr>
          <w:rFonts w:ascii="仿宋_GB2312" w:eastAsia="仿宋_GB2312"/>
          <w:color w:val="000000" w:themeColor="text1"/>
          <w:sz w:val="28"/>
          <w:szCs w:val="28"/>
        </w:rPr>
      </w:pPr>
      <w:r>
        <w:rPr>
          <w:rFonts w:hint="eastAsia" w:ascii="仿宋_GB2312" w:eastAsia="仿宋_GB2312"/>
          <w:color w:val="000000" w:themeColor="text1"/>
          <w:sz w:val="28"/>
          <w:szCs w:val="28"/>
        </w:rPr>
        <w:t>——应协助主要负责人履行本单位特种设备安全的领导职责，确保本单位特种设备的安全使用；</w:t>
      </w:r>
    </w:p>
    <w:p>
      <w:pPr>
        <w:pStyle w:val="47"/>
        <w:snapToGrid w:val="0"/>
        <w:spacing w:after="0" w:line="360" w:lineRule="auto"/>
        <w:ind w:left="0" w:leftChars="0" w:firstLine="560"/>
        <w:rPr>
          <w:rFonts w:ascii="仿宋_GB2312" w:eastAsia="仿宋_GB2312"/>
          <w:color w:val="000000" w:themeColor="text1"/>
          <w:sz w:val="28"/>
          <w:szCs w:val="28"/>
        </w:rPr>
      </w:pPr>
      <w:r>
        <w:rPr>
          <w:rFonts w:hint="eastAsia" w:ascii="仿宋_GB2312" w:eastAsia="仿宋_GB2312"/>
          <w:color w:val="000000" w:themeColor="text1"/>
          <w:sz w:val="28"/>
          <w:szCs w:val="28"/>
        </w:rPr>
        <w:t>——应宣传、贯彻《中华人民共和国特种设备安全法》以及有关法律、法规、规章和安全技术规范；</w:t>
      </w:r>
    </w:p>
    <w:p>
      <w:pPr>
        <w:pStyle w:val="47"/>
        <w:snapToGrid w:val="0"/>
        <w:spacing w:after="0" w:line="360" w:lineRule="auto"/>
        <w:ind w:left="0" w:leftChars="0" w:firstLine="560"/>
        <w:rPr>
          <w:rFonts w:ascii="仿宋_GB2312" w:eastAsia="仿宋_GB2312"/>
          <w:color w:val="000000" w:themeColor="text1"/>
          <w:sz w:val="28"/>
          <w:szCs w:val="28"/>
        </w:rPr>
      </w:pPr>
      <w:r>
        <w:rPr>
          <w:rFonts w:hint="eastAsia" w:ascii="仿宋_GB2312" w:eastAsia="仿宋_GB2312"/>
          <w:color w:val="000000" w:themeColor="text1"/>
          <w:sz w:val="28"/>
          <w:szCs w:val="28"/>
        </w:rPr>
        <w:t>——应组织制定本单位特种设备安全管理制度，落实特种设备安全管理机构设置、安全管理员配备；</w:t>
      </w:r>
    </w:p>
    <w:p>
      <w:pPr>
        <w:pStyle w:val="47"/>
        <w:snapToGrid w:val="0"/>
        <w:spacing w:after="0" w:line="360" w:lineRule="auto"/>
        <w:ind w:left="0" w:leftChars="0" w:firstLine="560"/>
        <w:rPr>
          <w:rFonts w:ascii="仿宋_GB2312" w:eastAsia="仿宋_GB2312"/>
          <w:color w:val="000000" w:themeColor="text1"/>
          <w:sz w:val="28"/>
          <w:szCs w:val="28"/>
        </w:rPr>
      </w:pPr>
      <w:r>
        <w:rPr>
          <w:rFonts w:hint="eastAsia" w:ascii="仿宋_GB2312" w:eastAsia="仿宋_GB2312"/>
          <w:color w:val="000000" w:themeColor="text1"/>
          <w:sz w:val="28"/>
          <w:szCs w:val="28"/>
        </w:rPr>
        <w:t>——应组织制定特种设备事故应急专项预案，并且定期组织演练；</w:t>
      </w:r>
    </w:p>
    <w:p>
      <w:pPr>
        <w:pStyle w:val="47"/>
        <w:snapToGrid w:val="0"/>
        <w:spacing w:after="0" w:line="360" w:lineRule="auto"/>
        <w:ind w:left="0" w:leftChars="0" w:firstLine="560"/>
        <w:rPr>
          <w:rFonts w:ascii="仿宋_GB2312" w:eastAsia="仿宋_GB2312"/>
          <w:color w:val="000000" w:themeColor="text1"/>
          <w:sz w:val="28"/>
          <w:szCs w:val="28"/>
        </w:rPr>
      </w:pPr>
      <w:r>
        <w:rPr>
          <w:rFonts w:hint="eastAsia" w:ascii="仿宋_GB2312" w:eastAsia="仿宋_GB2312"/>
          <w:color w:val="000000" w:themeColor="text1"/>
          <w:sz w:val="28"/>
          <w:szCs w:val="28"/>
        </w:rPr>
        <w:t>——应对本单位特种设备安全管理工作实施情况进行检查；</w:t>
      </w:r>
    </w:p>
    <w:p>
      <w:pPr>
        <w:pStyle w:val="47"/>
        <w:snapToGrid w:val="0"/>
        <w:spacing w:after="0" w:line="360" w:lineRule="auto"/>
        <w:ind w:left="0" w:leftChars="0" w:firstLine="560"/>
        <w:rPr>
          <w:rFonts w:ascii="仿宋_GB2312" w:eastAsia="仿宋_GB2312"/>
          <w:color w:val="000000" w:themeColor="text1"/>
          <w:sz w:val="28"/>
          <w:szCs w:val="28"/>
        </w:rPr>
      </w:pPr>
      <w:r>
        <w:rPr>
          <w:rFonts w:hint="eastAsia" w:ascii="仿宋_GB2312" w:eastAsia="仿宋_GB2312"/>
          <w:color w:val="000000" w:themeColor="text1"/>
          <w:sz w:val="28"/>
          <w:szCs w:val="28"/>
        </w:rPr>
        <w:t>——应组织进行隐患排查，并且提出处理意见；</w:t>
      </w:r>
    </w:p>
    <w:p>
      <w:pPr>
        <w:pStyle w:val="47"/>
        <w:snapToGrid w:val="0"/>
        <w:spacing w:after="0" w:line="360" w:lineRule="auto"/>
        <w:ind w:left="0" w:leftChars="0" w:firstLine="560"/>
        <w:rPr>
          <w:rFonts w:ascii="仿宋_GB2312" w:eastAsia="仿宋_GB2312"/>
          <w:color w:val="000000" w:themeColor="text1"/>
          <w:sz w:val="28"/>
          <w:szCs w:val="28"/>
        </w:rPr>
      </w:pPr>
      <w:r>
        <w:rPr>
          <w:rFonts w:hint="eastAsia" w:ascii="仿宋_GB2312" w:eastAsia="仿宋_GB2312"/>
          <w:color w:val="000000" w:themeColor="text1"/>
          <w:sz w:val="28"/>
          <w:szCs w:val="28"/>
        </w:rPr>
        <w:t>——当安全管理员报告特种设备存在事故隐患应停止使用时，应立即作出停止使用特种设备的决定，并且及时报告本单位主要负责人。</w:t>
      </w:r>
    </w:p>
    <w:p>
      <w:pPr>
        <w:pStyle w:val="47"/>
        <w:snapToGrid w:val="0"/>
        <w:spacing w:after="0" w:line="360" w:lineRule="auto"/>
        <w:ind w:left="0" w:leftChars="0" w:firstLine="560"/>
        <w:rPr>
          <w:rFonts w:ascii="仿宋_GB2312" w:eastAsia="仿宋_GB2312"/>
          <w:color w:val="000000" w:themeColor="text1"/>
          <w:sz w:val="28"/>
          <w:szCs w:val="28"/>
        </w:rPr>
      </w:pPr>
      <w:r>
        <w:rPr>
          <w:rFonts w:hint="eastAsia" w:ascii="仿宋_GB2312" w:eastAsia="仿宋_GB2312" w:hAnsiTheme="minorHAnsi" w:cstheme="minorBidi"/>
          <w:color w:val="000000" w:themeColor="text1"/>
          <w:sz w:val="28"/>
          <w:szCs w:val="28"/>
        </w:rPr>
        <w:t>10.</w:t>
      </w:r>
      <w:r>
        <w:rPr>
          <w:rFonts w:hint="eastAsia" w:ascii="仿宋_GB2312" w:eastAsia="仿宋_GB2312"/>
          <w:color w:val="000000" w:themeColor="text1"/>
          <w:sz w:val="28"/>
          <w:szCs w:val="28"/>
        </w:rPr>
        <w:t>使用单位应设置电梯的安全管理机构或者配备电梯安全管理员，至少有一名取得相应资质的电梯安全管理员。</w:t>
      </w:r>
    </w:p>
    <w:p>
      <w:pPr>
        <w:pStyle w:val="47"/>
        <w:snapToGrid w:val="0"/>
        <w:spacing w:after="0" w:line="360" w:lineRule="auto"/>
        <w:ind w:left="0" w:leftChars="0" w:firstLine="560"/>
        <w:rPr>
          <w:rFonts w:ascii="仿宋_GB2312" w:eastAsia="仿宋_GB2312"/>
          <w:color w:val="000000" w:themeColor="text1"/>
          <w:sz w:val="28"/>
          <w:szCs w:val="28"/>
        </w:rPr>
      </w:pPr>
      <w:r>
        <w:rPr>
          <w:rFonts w:hint="eastAsia" w:ascii="仿宋_GB2312" w:eastAsia="仿宋_GB2312"/>
          <w:color w:val="000000" w:themeColor="text1"/>
          <w:sz w:val="28"/>
          <w:szCs w:val="28"/>
        </w:rPr>
        <w:t>电梯安全管理员工作要求如下：</w:t>
      </w:r>
    </w:p>
    <w:p>
      <w:pPr>
        <w:pStyle w:val="47"/>
        <w:snapToGrid w:val="0"/>
        <w:spacing w:after="0" w:line="360" w:lineRule="auto"/>
        <w:ind w:left="0" w:leftChars="0" w:firstLine="560"/>
        <w:rPr>
          <w:rFonts w:ascii="仿宋_GB2312" w:eastAsia="仿宋_GB2312"/>
          <w:color w:val="000000" w:themeColor="text1"/>
          <w:sz w:val="28"/>
          <w:szCs w:val="28"/>
        </w:rPr>
      </w:pPr>
      <w:r>
        <w:rPr>
          <w:rFonts w:hint="eastAsia" w:ascii="仿宋_GB2312" w:eastAsia="仿宋_GB2312"/>
          <w:color w:val="000000" w:themeColor="text1"/>
          <w:sz w:val="28"/>
          <w:szCs w:val="28"/>
        </w:rPr>
        <w:t>——应进行电梯运行的日常巡视，记录电梯日常使用状况；</w:t>
      </w:r>
    </w:p>
    <w:p>
      <w:pPr>
        <w:pStyle w:val="47"/>
        <w:snapToGrid w:val="0"/>
        <w:spacing w:after="0" w:line="360" w:lineRule="auto"/>
        <w:ind w:left="0" w:leftChars="0" w:firstLine="560"/>
        <w:rPr>
          <w:rFonts w:ascii="仿宋_GB2312" w:eastAsia="仿宋_GB2312"/>
          <w:color w:val="000000" w:themeColor="text1"/>
          <w:sz w:val="28"/>
          <w:szCs w:val="28"/>
        </w:rPr>
      </w:pPr>
      <w:r>
        <w:rPr>
          <w:rFonts w:hint="eastAsia" w:ascii="仿宋_GB2312" w:eastAsia="仿宋_GB2312"/>
          <w:color w:val="000000" w:themeColor="text1"/>
          <w:sz w:val="28"/>
          <w:szCs w:val="28"/>
        </w:rPr>
        <w:t>——应制定和落实电梯的定期检验计划；</w:t>
      </w:r>
    </w:p>
    <w:p>
      <w:pPr>
        <w:pStyle w:val="47"/>
        <w:snapToGrid w:val="0"/>
        <w:spacing w:after="0" w:line="360" w:lineRule="auto"/>
        <w:ind w:left="0" w:leftChars="0" w:firstLine="560"/>
        <w:rPr>
          <w:rFonts w:ascii="仿宋_GB2312" w:eastAsia="仿宋_GB2312"/>
          <w:color w:val="000000" w:themeColor="text1"/>
          <w:sz w:val="28"/>
          <w:szCs w:val="28"/>
        </w:rPr>
      </w:pPr>
      <w:r>
        <w:rPr>
          <w:rFonts w:hint="eastAsia" w:ascii="仿宋_GB2312" w:eastAsia="仿宋_GB2312"/>
          <w:color w:val="000000" w:themeColor="text1"/>
          <w:sz w:val="28"/>
          <w:szCs w:val="28"/>
        </w:rPr>
        <w:t>——应对电梯安全注意事项和警示标志的检查，确保其齐全清晰；</w:t>
      </w:r>
    </w:p>
    <w:p>
      <w:pPr>
        <w:pStyle w:val="47"/>
        <w:snapToGrid w:val="0"/>
        <w:spacing w:after="0" w:line="360" w:lineRule="auto"/>
        <w:ind w:left="0" w:leftChars="0" w:firstLine="560"/>
        <w:rPr>
          <w:rFonts w:ascii="仿宋_GB2312" w:eastAsia="仿宋_GB2312"/>
          <w:color w:val="000000" w:themeColor="text1"/>
          <w:sz w:val="28"/>
          <w:szCs w:val="28"/>
        </w:rPr>
      </w:pPr>
      <w:r>
        <w:rPr>
          <w:rFonts w:hint="eastAsia" w:ascii="仿宋_GB2312" w:eastAsia="仿宋_GB2312"/>
          <w:color w:val="000000" w:themeColor="text1"/>
          <w:sz w:val="28"/>
          <w:szCs w:val="28"/>
        </w:rPr>
        <w:t>——应妥善保管电梯钥匙及其安全提示牌；</w:t>
      </w:r>
    </w:p>
    <w:p>
      <w:pPr>
        <w:pStyle w:val="47"/>
        <w:snapToGrid w:val="0"/>
        <w:spacing w:after="0" w:line="360" w:lineRule="auto"/>
        <w:ind w:left="0" w:leftChars="0" w:firstLine="560"/>
        <w:rPr>
          <w:rFonts w:ascii="仿宋_GB2312" w:eastAsia="仿宋_GB2312"/>
          <w:color w:val="000000" w:themeColor="text1"/>
          <w:sz w:val="28"/>
          <w:szCs w:val="28"/>
        </w:rPr>
      </w:pPr>
      <w:r>
        <w:rPr>
          <w:rFonts w:hint="eastAsia" w:ascii="仿宋_GB2312" w:eastAsia="仿宋_GB2312"/>
          <w:color w:val="000000" w:themeColor="text1"/>
          <w:sz w:val="28"/>
          <w:szCs w:val="28"/>
        </w:rPr>
        <w:t>——发现电梯运行事故隐患需要停止使用的，有权作出停止使用的决定，并且立即报告本单位负责人；</w:t>
      </w:r>
    </w:p>
    <w:p>
      <w:pPr>
        <w:pStyle w:val="47"/>
        <w:snapToGrid w:val="0"/>
        <w:spacing w:after="0" w:line="360" w:lineRule="auto"/>
        <w:ind w:left="0" w:leftChars="0" w:firstLine="560"/>
        <w:rPr>
          <w:rFonts w:ascii="仿宋_GB2312" w:eastAsia="仿宋_GB2312"/>
          <w:color w:val="000000" w:themeColor="text1"/>
          <w:sz w:val="28"/>
          <w:szCs w:val="28"/>
        </w:rPr>
      </w:pPr>
      <w:r>
        <w:rPr>
          <w:rFonts w:hint="eastAsia" w:ascii="仿宋_GB2312" w:eastAsia="仿宋_GB2312"/>
          <w:color w:val="000000" w:themeColor="text1"/>
          <w:sz w:val="28"/>
          <w:szCs w:val="28"/>
        </w:rPr>
        <w:t>——接到故障报警后，应立即赶赴现场，组织电梯维修作业人员实施救援；</w:t>
      </w:r>
    </w:p>
    <w:p>
      <w:pPr>
        <w:pStyle w:val="47"/>
        <w:snapToGrid w:val="0"/>
        <w:spacing w:after="0" w:line="360" w:lineRule="auto"/>
        <w:ind w:left="0" w:leftChars="0" w:firstLine="560"/>
        <w:rPr>
          <w:rFonts w:ascii="仿宋_GB2312" w:eastAsia="仿宋_GB2312"/>
          <w:color w:val="000000" w:themeColor="text1"/>
          <w:sz w:val="28"/>
          <w:szCs w:val="28"/>
        </w:rPr>
      </w:pPr>
      <w:r>
        <w:rPr>
          <w:rFonts w:hint="eastAsia" w:ascii="仿宋_GB2312" w:eastAsia="仿宋_GB2312"/>
          <w:color w:val="000000" w:themeColor="text1"/>
          <w:sz w:val="28"/>
          <w:szCs w:val="28"/>
        </w:rPr>
        <w:t>——应实施对电梯安装、改造、修理和维保工作的监督，对维保单位的维保记录签字确认；</w:t>
      </w:r>
    </w:p>
    <w:p>
      <w:pPr>
        <w:pStyle w:val="47"/>
        <w:snapToGrid w:val="0"/>
        <w:spacing w:after="0" w:line="360" w:lineRule="auto"/>
        <w:ind w:left="0" w:leftChars="0" w:firstLine="560"/>
        <w:rPr>
          <w:rFonts w:ascii="仿宋_GB2312" w:eastAsia="仿宋_GB2312"/>
          <w:color w:val="000000" w:themeColor="text1"/>
          <w:sz w:val="28"/>
          <w:szCs w:val="28"/>
        </w:rPr>
      </w:pPr>
      <w:r>
        <w:rPr>
          <w:rFonts w:hint="eastAsia" w:ascii="仿宋_GB2312" w:eastAsia="仿宋_GB2312"/>
          <w:color w:val="000000" w:themeColor="text1"/>
          <w:sz w:val="28"/>
          <w:szCs w:val="28"/>
        </w:rPr>
        <w:t>——检验时应到场并签字，自行检查记录或者报告书等电梯维保记录文件应由电梯安全管理员签字，并与持证人相对应。</w:t>
      </w:r>
    </w:p>
    <w:p>
      <w:pPr>
        <w:spacing w:line="360" w:lineRule="auto"/>
        <w:ind w:firstLine="562" w:firstLineChars="200"/>
        <w:rPr>
          <w:rFonts w:ascii="仿宋_GB2312" w:hAnsi="方正仿宋_GB2312" w:eastAsia="仿宋_GB2312" w:cs="方正仿宋_GB2312"/>
          <w:b/>
          <w:color w:val="000000" w:themeColor="text1"/>
          <w:sz w:val="28"/>
          <w:szCs w:val="28"/>
        </w:rPr>
      </w:pPr>
      <w:r>
        <w:rPr>
          <w:rFonts w:hint="eastAsia" w:ascii="仿宋_GB2312" w:hAnsi="方正仿宋_GB2312" w:eastAsia="仿宋_GB2312" w:cs="方正仿宋_GB2312"/>
          <w:b/>
          <w:color w:val="000000" w:themeColor="text1"/>
          <w:sz w:val="28"/>
          <w:szCs w:val="28"/>
        </w:rPr>
        <w:t>根据《住宅物业服务标准》：</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1.电梯在投入使用前或者投入使用后30日内，应向相关行政主管部门办理使用登记。登记标识应置于或附着于电梯的显著位置。（一至五级）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2.在电梯安全检验合格有效期届满前1个月，应向电梯检验检测机构提出定期检验申请。（一至五级）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3.日常维护保养和定期检查中发现的问题应及时排除；电梯的安全附件、安全保护装置、测量调控装置及有关附属仪器仪表应每年进行校验、检修。（一至五级）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4.应与具备专业资质的电梯制造、安装、改造、维修单位签订电梯维保合同，约定维护保养的内容、要求、频次、期限以及双方的权利、义务与责任。对专项服务企业的维修保养工作进行监督，对专项服务企业定期检修计划的落实情况进行监督。（一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5.配备电梯安全管理人员，管理人员应当对电梯使用状况进行经常性检查。（一至五级）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6.制定电梯应急救援预案并每半年演练1次。发生电梯困人或其它重大事件时，应立即启动事故应急预案，组织救援，并及时向相关行政主管部门报告。物业服务人员应在15分钟内到达现场，专业维修人员应在30分钟内到达现场。（一至三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制定电梯应急救援预案并每季度演练1次。发生电梯困人或其它重大事件时，应立即启动事故应急预案，组织救援，并及时向相关行政主管部门报告。物业服务人员应在15分钟内到达现场，专业维修人员应在30分钟内到达现场。（四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制定电梯应急救援预案并每月演练1次。发生电梯困人或其它重大事件时，应立即启动事故应急预案，组织救援，并及时向相关行政主管部门报告。物业服务人员应在15分钟内到达现场，专业维修人员应在30分钟内到达现场。（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7.电梯运行</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（1）在电梯轿厢内或者出入口的明显位置张贴安全使用说明、安全注意事项和警示标识；（一至五级）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（2）在电梯显著位置标明使用管理单位名称、24小时值班、应急救援电话和维保单位名称及其急修、投诉电话；（一至五级）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（3）电梯内设置的紧急报警装置可正常使用。（一至五级）</w:t>
      </w:r>
    </w:p>
    <w:p>
      <w:pPr>
        <w:snapToGrid w:val="0"/>
        <w:spacing w:beforeLines="50" w:line="360" w:lineRule="auto"/>
        <w:ind w:firstLine="562" w:firstLineChars="200"/>
        <w:rPr>
          <w:rFonts w:ascii="仿宋_GB2312" w:hAnsi="仿宋" w:eastAsia="仿宋_GB2312" w:cs="仿宋"/>
          <w:b/>
          <w:color w:val="000000" w:themeColor="text1"/>
          <w:sz w:val="40"/>
          <w:szCs w:val="28"/>
        </w:rPr>
      </w:pPr>
      <w:r>
        <w:rPr>
          <w:rFonts w:hint="eastAsia" w:ascii="仿宋_GB2312" w:eastAsia="仿宋_GB2312"/>
          <w:b/>
          <w:color w:val="000000" w:themeColor="text1"/>
          <w:sz w:val="28"/>
        </w:rPr>
        <w:t>风险提示</w:t>
      </w:r>
    </w:p>
    <w:p>
      <w:pPr>
        <w:snapToGrid w:val="0"/>
        <w:spacing w:beforeLines="50" w:line="360" w:lineRule="auto"/>
        <w:ind w:firstLine="562" w:firstLineChars="200"/>
        <w:rPr>
          <w:rFonts w:ascii="仿宋_GB2312" w:hAnsi="方正仿宋_GB2312" w:eastAsia="仿宋_GB2312" w:cs="方正仿宋_GB2312"/>
          <w:b/>
          <w:color w:val="000000" w:themeColor="text1"/>
          <w:sz w:val="28"/>
          <w:szCs w:val="28"/>
        </w:rPr>
      </w:pPr>
      <w:r>
        <w:rPr>
          <w:rFonts w:hint="eastAsia" w:ascii="仿宋_GB2312" w:hAnsi="方正仿宋_GB2312" w:eastAsia="仿宋_GB2312" w:cs="方正仿宋_GB2312"/>
          <w:b/>
          <w:color w:val="000000" w:themeColor="text1"/>
          <w:sz w:val="28"/>
          <w:szCs w:val="28"/>
        </w:rPr>
        <w:t>根据《中华人民共和国特种设备安全法》（</w:t>
      </w:r>
      <w:r>
        <w:rPr>
          <w:rFonts w:ascii="仿宋_GB2312" w:hAnsi="方正仿宋_GB2312" w:eastAsia="仿宋_GB2312" w:cs="方正仿宋_GB2312"/>
          <w:b/>
          <w:color w:val="000000" w:themeColor="text1"/>
          <w:sz w:val="28"/>
          <w:szCs w:val="28"/>
        </w:rPr>
        <w:t>中华人民共和国主席令第</w:t>
      </w:r>
      <w:r>
        <w:rPr>
          <w:rFonts w:hint="eastAsia" w:ascii="仿宋_GB2312" w:hAnsi="方正仿宋_GB2312" w:eastAsia="仿宋_GB2312" w:cs="方正仿宋_GB2312"/>
          <w:b/>
          <w:color w:val="000000" w:themeColor="text1"/>
          <w:sz w:val="28"/>
          <w:szCs w:val="28"/>
        </w:rPr>
        <w:t>4</w:t>
      </w:r>
      <w:r>
        <w:rPr>
          <w:rFonts w:ascii="仿宋_GB2312" w:hAnsi="方正仿宋_GB2312" w:eastAsia="仿宋_GB2312" w:cs="方正仿宋_GB2312"/>
          <w:b/>
          <w:color w:val="000000" w:themeColor="text1"/>
          <w:sz w:val="28"/>
          <w:szCs w:val="28"/>
        </w:rPr>
        <w:t>号</w:t>
      </w:r>
      <w:r>
        <w:rPr>
          <w:rFonts w:hint="eastAsia" w:ascii="仿宋_GB2312" w:hAnsi="方正仿宋_GB2312" w:eastAsia="仿宋_GB2312" w:cs="方正仿宋_GB2312"/>
          <w:b/>
          <w:color w:val="000000" w:themeColor="text1"/>
          <w:sz w:val="28"/>
          <w:szCs w:val="28"/>
        </w:rPr>
        <w:t>）：</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1</w:t>
      </w:r>
      <w:r>
        <w:rPr>
          <w:rFonts w:ascii="仿宋_GB2312" w:hAnsi="方正仿宋_GB2312" w:eastAsia="仿宋_GB2312" w:cs="方正仿宋_GB2312"/>
          <w:color w:val="000000" w:themeColor="text1"/>
          <w:sz w:val="28"/>
          <w:szCs w:val="28"/>
        </w:rPr>
        <w:t>.</w:t>
      </w:r>
      <w:r>
        <w:rPr>
          <w:rFonts w:hint="eastAsia" w:ascii="仿宋_GB2312" w:hAnsi="方正仿宋_GB2312" w:eastAsia="仿宋_GB2312" w:cs="方正仿宋_GB2312"/>
          <w:color w:val="000000" w:themeColor="text1"/>
          <w:sz w:val="28"/>
          <w:szCs w:val="28"/>
        </w:rPr>
        <w:t>对电梯、客运索道、大型游乐设施的运营使用单位未将电梯、客运索道、大型游乐设施的安全使用说明、安全注意事项和警示标志置于易于为乘客注意的显著位置的行为进行处罚。</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2</w:t>
      </w:r>
      <w:r>
        <w:rPr>
          <w:rFonts w:ascii="仿宋_GB2312" w:hAnsi="方正仿宋_GB2312" w:eastAsia="仿宋_GB2312" w:cs="方正仿宋_GB2312"/>
          <w:color w:val="000000" w:themeColor="text1"/>
          <w:sz w:val="28"/>
          <w:szCs w:val="28"/>
        </w:rPr>
        <w:t>.</w:t>
      </w:r>
      <w:r>
        <w:rPr>
          <w:rFonts w:hint="eastAsia" w:ascii="仿宋_GB2312" w:hAnsi="方正仿宋_GB2312" w:eastAsia="仿宋_GB2312" w:cs="方正仿宋_GB2312"/>
          <w:color w:val="000000" w:themeColor="text1"/>
          <w:sz w:val="28"/>
          <w:szCs w:val="28"/>
        </w:rPr>
        <w:t>对电梯、客运索道、大型游乐设施的运营使用单位未设置特种设备安全管理机构或者配备专职的特种设备安全管理人员，经责令限期改正，逾期未改正的行为进行处罚。</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3</w:t>
      </w:r>
      <w:r>
        <w:rPr>
          <w:rFonts w:ascii="仿宋_GB2312" w:hAnsi="方正仿宋_GB2312" w:eastAsia="仿宋_GB2312" w:cs="方正仿宋_GB2312"/>
          <w:color w:val="000000" w:themeColor="text1"/>
          <w:sz w:val="28"/>
          <w:szCs w:val="28"/>
        </w:rPr>
        <w:t>.</w:t>
      </w:r>
      <w:r>
        <w:rPr>
          <w:rFonts w:hint="eastAsia" w:ascii="仿宋_GB2312" w:hAnsi="方正仿宋_GB2312" w:eastAsia="仿宋_GB2312" w:cs="方正仿宋_GB2312"/>
          <w:color w:val="000000" w:themeColor="text1"/>
          <w:sz w:val="28"/>
          <w:szCs w:val="28"/>
        </w:rPr>
        <w:t>对电梯的维护保养单位未经许可擅自从事电梯维护保养，或者未按照安全技术规范的要求进行电梯维护保养的行为进行处罚。</w:t>
      </w:r>
    </w:p>
    <w:p>
      <w:pPr>
        <w:snapToGrid w:val="0"/>
        <w:spacing w:beforeLines="50" w:line="360" w:lineRule="auto"/>
        <w:ind w:firstLine="562" w:firstLineChars="200"/>
        <w:rPr>
          <w:rFonts w:ascii="仿宋_GB2312" w:hAnsi="方正仿宋_GB2312" w:eastAsia="仿宋_GB2312" w:cs="方正仿宋_GB2312"/>
          <w:b/>
          <w:color w:val="000000" w:themeColor="text1"/>
          <w:sz w:val="28"/>
          <w:szCs w:val="28"/>
        </w:rPr>
      </w:pPr>
      <w:r>
        <w:rPr>
          <w:rFonts w:hint="eastAsia" w:ascii="仿宋_GB2312" w:hAnsi="方正仿宋_GB2312" w:eastAsia="仿宋_GB2312" w:cs="方正仿宋_GB2312"/>
          <w:b/>
          <w:color w:val="000000" w:themeColor="text1"/>
          <w:sz w:val="28"/>
          <w:szCs w:val="28"/>
        </w:rPr>
        <w:t>根据《特种设备安全监察条例》（</w:t>
      </w:r>
      <w:r>
        <w:rPr>
          <w:rFonts w:ascii="仿宋_GB2312" w:hAnsi="方正仿宋_GB2312" w:eastAsia="仿宋_GB2312" w:cs="方正仿宋_GB2312"/>
          <w:b/>
          <w:color w:val="000000" w:themeColor="text1"/>
          <w:sz w:val="28"/>
          <w:szCs w:val="28"/>
        </w:rPr>
        <w:t>中华人民共和国国务院令第373号</w:t>
      </w:r>
      <w:r>
        <w:rPr>
          <w:rFonts w:hint="eastAsia" w:ascii="仿宋_GB2312" w:hAnsi="方正仿宋_GB2312" w:eastAsia="仿宋_GB2312" w:cs="方正仿宋_GB2312"/>
          <w:b/>
          <w:color w:val="000000" w:themeColor="text1"/>
          <w:sz w:val="28"/>
          <w:szCs w:val="28"/>
        </w:rPr>
        <w:t>）：</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对电梯使用单位未按照规定对电梯进行清洁、润滑、调整和检查的行为进行处罚。</w:t>
      </w:r>
    </w:p>
    <w:p>
      <w:pPr>
        <w:pStyle w:val="47"/>
        <w:snapToGrid w:val="0"/>
        <w:spacing w:beforeLines="50" w:after="0" w:line="360" w:lineRule="auto"/>
        <w:ind w:left="0" w:leftChars="0" w:firstLine="562"/>
        <w:rPr>
          <w:color w:val="000000" w:themeColor="text1"/>
        </w:rPr>
      </w:pPr>
      <w:r>
        <w:rPr>
          <w:rFonts w:hint="eastAsia" w:ascii="仿宋_GB2312" w:hAnsi="方正仿宋_GB2312" w:eastAsia="仿宋_GB2312" w:cs="方正仿宋_GB2312"/>
          <w:b/>
          <w:color w:val="000000" w:themeColor="text1"/>
          <w:sz w:val="28"/>
          <w:szCs w:val="28"/>
        </w:rPr>
        <w:t>根据《特种设备使用单位落实使用安全主体责任监督管理规定》：</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ascii="仿宋_GB2312" w:hAnsi="方正仿宋_GB2312" w:eastAsia="仿宋_GB2312" w:cs="方正仿宋_GB2312"/>
          <w:color w:val="000000" w:themeColor="text1"/>
          <w:sz w:val="28"/>
          <w:szCs w:val="28"/>
        </w:rPr>
        <w:t>电梯使用单位未按规定建立安全管理制度，或者未按规定配备、培训、考核电梯安全总监和电梯安全员的，由县级以上地方市场监督管理部门责令改正并给予通报批评；拒不改正的，处五千元以上五万元以下罚款，并将处罚情况纳入国家企业信用信息公示系统。法律、行政法规另有规定的，依照其规定执行。</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ascii="仿宋_GB2312" w:hAnsi="方正仿宋_GB2312" w:eastAsia="仿宋_GB2312" w:cs="方正仿宋_GB2312"/>
          <w:color w:val="000000" w:themeColor="text1"/>
          <w:sz w:val="28"/>
          <w:szCs w:val="28"/>
        </w:rPr>
        <w:t>电梯使用单位主要负责人、电梯安全总监、电梯安全员未按规定要求落实使用安全责任的，由县级以上地方市场监督管理部门责令改正并给予通报批评；拒不改正的，对责任人处二千元以上一万元以下罚款。法律、行政法规另有规定的，依照其规定执行。</w:t>
      </w:r>
    </w:p>
    <w:p>
      <w:pPr>
        <w:snapToGrid w:val="0"/>
        <w:spacing w:beforeLines="50" w:line="360" w:lineRule="auto"/>
        <w:ind w:firstLine="562" w:firstLineChars="200"/>
        <w:rPr>
          <w:rFonts w:ascii="仿宋_GB2312" w:hAnsi="方正仿宋_GB2312" w:eastAsia="仿宋_GB2312" w:cs="方正仿宋_GB2312"/>
          <w:b/>
          <w:color w:val="000000" w:themeColor="text1"/>
          <w:sz w:val="28"/>
          <w:szCs w:val="28"/>
        </w:rPr>
      </w:pPr>
      <w:r>
        <w:rPr>
          <w:rFonts w:hint="eastAsia" w:ascii="仿宋_GB2312" w:hAnsi="方正仿宋_GB2312" w:eastAsia="仿宋_GB2312" w:cs="方正仿宋_GB2312"/>
          <w:b/>
          <w:color w:val="000000" w:themeColor="text1"/>
          <w:sz w:val="28"/>
          <w:szCs w:val="28"/>
        </w:rPr>
        <w:t>根据《北京市电梯安全监督管理办法》（</w:t>
      </w:r>
      <w:r>
        <w:rPr>
          <w:rFonts w:ascii="仿宋_GB2312" w:hAnsi="方正仿宋_GB2312" w:eastAsia="仿宋_GB2312" w:cs="方正仿宋_GB2312"/>
          <w:b/>
          <w:color w:val="000000" w:themeColor="text1"/>
          <w:sz w:val="28"/>
          <w:szCs w:val="28"/>
        </w:rPr>
        <w:t>北京市人民政府令第205号</w:t>
      </w:r>
      <w:r>
        <w:rPr>
          <w:rFonts w:hint="eastAsia" w:ascii="仿宋_GB2312" w:hAnsi="方正仿宋_GB2312" w:eastAsia="仿宋_GB2312" w:cs="方正仿宋_GB2312"/>
          <w:b/>
          <w:color w:val="000000" w:themeColor="text1"/>
          <w:sz w:val="28"/>
          <w:szCs w:val="28"/>
        </w:rPr>
        <w:t>）：</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1</w:t>
      </w:r>
      <w:r>
        <w:rPr>
          <w:rFonts w:ascii="仿宋_GB2312" w:hAnsi="方正仿宋_GB2312" w:eastAsia="仿宋_GB2312" w:cs="方正仿宋_GB2312"/>
          <w:color w:val="000000" w:themeColor="text1"/>
          <w:sz w:val="28"/>
          <w:szCs w:val="28"/>
        </w:rPr>
        <w:t>.</w:t>
      </w:r>
      <w:r>
        <w:rPr>
          <w:rFonts w:hint="eastAsia" w:ascii="仿宋_GB2312" w:hAnsi="方正仿宋_GB2312" w:eastAsia="仿宋_GB2312" w:cs="方正仿宋_GB2312"/>
          <w:color w:val="000000" w:themeColor="text1"/>
          <w:sz w:val="28"/>
          <w:szCs w:val="28"/>
        </w:rPr>
        <w:t>对电梯使用单位电梯紧急报警装置不能有效应答紧急呼救，经责令限期改正，逾期未改正的行为进行处罚。</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2</w:t>
      </w:r>
      <w:r>
        <w:rPr>
          <w:rFonts w:ascii="仿宋_GB2312" w:hAnsi="方正仿宋_GB2312" w:eastAsia="仿宋_GB2312" w:cs="方正仿宋_GB2312"/>
          <w:color w:val="000000" w:themeColor="text1"/>
          <w:sz w:val="28"/>
          <w:szCs w:val="28"/>
        </w:rPr>
        <w:t>.</w:t>
      </w:r>
      <w:r>
        <w:rPr>
          <w:rFonts w:hint="eastAsia" w:ascii="仿宋_GB2312" w:hAnsi="方正仿宋_GB2312" w:eastAsia="仿宋_GB2312" w:cs="方正仿宋_GB2312"/>
          <w:color w:val="000000" w:themeColor="text1"/>
          <w:sz w:val="28"/>
          <w:szCs w:val="28"/>
        </w:rPr>
        <w:t>对电梯使用单位未在电梯轿厢内或者出入口的明显位置张贴有效的《安全检验合格》标志，经责令限期改正，逾期未改正的行为进行处罚。</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3</w:t>
      </w:r>
      <w:r>
        <w:rPr>
          <w:rFonts w:ascii="仿宋_GB2312" w:hAnsi="方正仿宋_GB2312" w:eastAsia="仿宋_GB2312" w:cs="方正仿宋_GB2312"/>
          <w:color w:val="000000" w:themeColor="text1"/>
          <w:sz w:val="28"/>
          <w:szCs w:val="28"/>
        </w:rPr>
        <w:t>.</w:t>
      </w:r>
      <w:r>
        <w:rPr>
          <w:rFonts w:hint="eastAsia" w:ascii="仿宋_GB2312" w:hAnsi="方正仿宋_GB2312" w:eastAsia="仿宋_GB2312" w:cs="方正仿宋_GB2312"/>
          <w:color w:val="000000" w:themeColor="text1"/>
          <w:sz w:val="28"/>
          <w:szCs w:val="28"/>
        </w:rPr>
        <w:t>对电梯使用单位发生电梯乘客被困故障时，未及时采取措施对被困人员进行抚慰和组织救援，经责令限期改正，逾期未改正的行为进行处罚对电梯使用单位。</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4</w:t>
      </w:r>
      <w:r>
        <w:rPr>
          <w:rFonts w:ascii="仿宋_GB2312" w:hAnsi="方正仿宋_GB2312" w:eastAsia="仿宋_GB2312" w:cs="方正仿宋_GB2312"/>
          <w:color w:val="000000" w:themeColor="text1"/>
          <w:sz w:val="28"/>
          <w:szCs w:val="28"/>
        </w:rPr>
        <w:t>.</w:t>
      </w:r>
      <w:r>
        <w:rPr>
          <w:rFonts w:hint="eastAsia" w:ascii="仿宋_GB2312" w:hAnsi="方正仿宋_GB2312" w:eastAsia="仿宋_GB2312" w:cs="方正仿宋_GB2312"/>
          <w:color w:val="000000" w:themeColor="text1"/>
          <w:sz w:val="28"/>
          <w:szCs w:val="28"/>
        </w:rPr>
        <w:t>对电梯日常维护保养单位未对电梯作业人员进行安全教育和培训，经责令限期改正，逾期未改正的行为进行处罚。</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5</w:t>
      </w:r>
      <w:r>
        <w:rPr>
          <w:rFonts w:ascii="仿宋_GB2312" w:hAnsi="方正仿宋_GB2312" w:eastAsia="仿宋_GB2312" w:cs="方正仿宋_GB2312"/>
          <w:color w:val="000000" w:themeColor="text1"/>
          <w:sz w:val="28"/>
          <w:szCs w:val="28"/>
        </w:rPr>
        <w:t>.</w:t>
      </w:r>
      <w:r>
        <w:rPr>
          <w:rFonts w:hint="eastAsia" w:ascii="仿宋_GB2312" w:hAnsi="方正仿宋_GB2312" w:eastAsia="仿宋_GB2312" w:cs="方正仿宋_GB2312"/>
          <w:color w:val="000000" w:themeColor="text1"/>
          <w:sz w:val="28"/>
          <w:szCs w:val="28"/>
        </w:rPr>
        <w:t>对电梯安装、改造、维修或者日常维护保养作业人员未持《特种设备作业人员证》进行作业的行为进行处罚。</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6</w:t>
      </w:r>
      <w:r>
        <w:rPr>
          <w:rFonts w:ascii="仿宋_GB2312" w:hAnsi="方正仿宋_GB2312" w:eastAsia="仿宋_GB2312" w:cs="方正仿宋_GB2312"/>
          <w:color w:val="000000" w:themeColor="text1"/>
          <w:sz w:val="28"/>
          <w:szCs w:val="28"/>
        </w:rPr>
        <w:t>.</w:t>
      </w:r>
      <w:r>
        <w:rPr>
          <w:rFonts w:hint="eastAsia" w:ascii="仿宋_GB2312" w:hAnsi="方正仿宋_GB2312" w:eastAsia="仿宋_GB2312" w:cs="方正仿宋_GB2312"/>
          <w:color w:val="000000" w:themeColor="text1"/>
          <w:sz w:val="28"/>
          <w:szCs w:val="28"/>
        </w:rPr>
        <w:t>对电梯使用单位委托未取得相应许可的单位实施电梯安装、改造、维修或者日常维护保养活动的行为进行处罚。</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7</w:t>
      </w:r>
      <w:r>
        <w:rPr>
          <w:rFonts w:ascii="仿宋_GB2312" w:hAnsi="方正仿宋_GB2312" w:eastAsia="仿宋_GB2312" w:cs="方正仿宋_GB2312"/>
          <w:color w:val="000000" w:themeColor="text1"/>
          <w:sz w:val="28"/>
          <w:szCs w:val="28"/>
        </w:rPr>
        <w:t>.</w:t>
      </w:r>
      <w:r>
        <w:rPr>
          <w:rFonts w:hint="eastAsia" w:ascii="仿宋_GB2312" w:hAnsi="方正仿宋_GB2312" w:eastAsia="仿宋_GB2312" w:cs="方正仿宋_GB2312"/>
          <w:color w:val="000000" w:themeColor="text1"/>
          <w:sz w:val="28"/>
          <w:szCs w:val="28"/>
        </w:rPr>
        <w:t>对电梯安装、改造、维修单位未执行本市电梯安全管理地方标准，经责令限期改正，逾期未改正的行为进行处罚。</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8</w:t>
      </w:r>
      <w:r>
        <w:rPr>
          <w:rFonts w:ascii="仿宋_GB2312" w:hAnsi="方正仿宋_GB2312" w:eastAsia="仿宋_GB2312" w:cs="方正仿宋_GB2312"/>
          <w:color w:val="000000" w:themeColor="text1"/>
          <w:sz w:val="28"/>
          <w:szCs w:val="28"/>
        </w:rPr>
        <w:t>.</w:t>
      </w:r>
      <w:r>
        <w:rPr>
          <w:rFonts w:hint="eastAsia" w:ascii="仿宋_GB2312" w:hAnsi="方正仿宋_GB2312" w:eastAsia="仿宋_GB2312" w:cs="方正仿宋_GB2312"/>
          <w:color w:val="000000" w:themeColor="text1"/>
          <w:sz w:val="28"/>
          <w:szCs w:val="28"/>
        </w:rPr>
        <w:t>对从事电梯日常维护保养的单位不履行法定义务，经责令限期改正，逾期未改正的行为进行处罚。</w:t>
      </w:r>
    </w:p>
    <w:p>
      <w:pPr>
        <w:widowControl/>
        <w:jc w:val="left"/>
        <w:rPr>
          <w:rFonts w:ascii="Cambria" w:hAnsi="Cambria" w:eastAsia="楷体"/>
          <w:color w:val="000000" w:themeColor="text1"/>
        </w:rPr>
      </w:pPr>
      <w:bookmarkStart w:id="57" w:name="_Toc1815425113"/>
      <w:r>
        <w:rPr>
          <w:rFonts w:ascii="Cambria" w:hAnsi="Cambria" w:eastAsia="楷体"/>
          <w:b/>
          <w:color w:val="000000" w:themeColor="text1"/>
        </w:rPr>
        <w:br w:type="page"/>
      </w:r>
    </w:p>
    <w:p>
      <w:pPr>
        <w:pStyle w:val="48"/>
        <w:rPr>
          <w:color w:val="000000" w:themeColor="text1"/>
          <w:sz w:val="32"/>
        </w:rPr>
      </w:pPr>
    </w:p>
    <w:p>
      <w:pPr>
        <w:pStyle w:val="4"/>
        <w:spacing w:before="312" w:after="312"/>
        <w:rPr>
          <w:color w:val="000000" w:themeColor="text1"/>
        </w:rPr>
      </w:pPr>
      <w:bookmarkStart w:id="58" w:name="_Toc150435237"/>
      <w:r>
        <w:rPr>
          <w:rFonts w:hint="eastAsia"/>
          <w:color w:val="000000" w:themeColor="text1"/>
        </w:rPr>
        <w:t>（九）地下空间管理合规指南</w:t>
      </w:r>
      <w:bookmarkEnd w:id="57"/>
      <w:bookmarkEnd w:id="58"/>
    </w:p>
    <w:p>
      <w:pPr>
        <w:pStyle w:val="49"/>
        <w:spacing w:before="156"/>
        <w:ind w:firstLine="562" w:firstLineChars="200"/>
        <w:rPr>
          <w:color w:val="000000" w:themeColor="text1"/>
        </w:rPr>
      </w:pPr>
      <w:bookmarkStart w:id="59" w:name="_Toc402217615"/>
      <w:r>
        <w:rPr>
          <w:rFonts w:hint="eastAsia"/>
          <w:color w:val="000000" w:themeColor="text1"/>
        </w:rPr>
        <w:t>根据《中华人民共和国人民防空法》（中华人民共和国主席第78号令）：</w:t>
      </w:r>
    </w:p>
    <w:p>
      <w:pPr>
        <w:widowControl/>
        <w:shd w:val="clear" w:color="auto" w:fill="FFFFFF"/>
        <w:snapToGrid w:val="0"/>
        <w:spacing w:line="360" w:lineRule="auto"/>
        <w:ind w:firstLine="560" w:firstLineChars="200"/>
        <w:rPr>
          <w:rFonts w:hint="eastAsia" w:ascii="仿宋_GB2312" w:hAnsi="Helvetica Neue" w:eastAsia="仿宋_GB2312" w:cs="宋体"/>
          <w:color w:val="000000" w:themeColor="text1"/>
          <w:kern w:val="0"/>
          <w:sz w:val="28"/>
          <w:szCs w:val="28"/>
        </w:rPr>
      </w:pPr>
      <w:r>
        <w:rPr>
          <w:rFonts w:hint="eastAsia" w:ascii="仿宋_GB2312" w:hAnsi="Helvetica Neue" w:eastAsia="仿宋_GB2312" w:cs="宋体"/>
          <w:color w:val="000000" w:themeColor="text1"/>
          <w:kern w:val="0"/>
          <w:sz w:val="28"/>
          <w:szCs w:val="28"/>
        </w:rPr>
        <w:t>国家保护人民防空设施不受侵害。禁止任何组织或者个人破坏、侵占人民防空设施。</w:t>
      </w:r>
    </w:p>
    <w:p>
      <w:pPr>
        <w:pStyle w:val="47"/>
        <w:snapToGrid w:val="0"/>
        <w:spacing w:beforeLines="50" w:after="0" w:line="360" w:lineRule="auto"/>
        <w:ind w:left="0" w:leftChars="0" w:firstLine="562"/>
        <w:rPr>
          <w:rFonts w:ascii="仿宋_GB2312" w:hAnsi="Times New Roman" w:eastAsia="仿宋_GB2312"/>
          <w:b/>
          <w:color w:val="000000" w:themeColor="text1"/>
          <w:sz w:val="28"/>
          <w:szCs w:val="32"/>
        </w:rPr>
      </w:pPr>
      <w:r>
        <w:rPr>
          <w:rFonts w:hint="eastAsia" w:ascii="仿宋_GB2312" w:hAnsi="Times New Roman" w:eastAsia="仿宋_GB2312"/>
          <w:b/>
          <w:color w:val="000000" w:themeColor="text1"/>
          <w:sz w:val="28"/>
          <w:szCs w:val="32"/>
        </w:rPr>
        <w:t>根据《北京市人民防空条例》：</w:t>
      </w:r>
    </w:p>
    <w:p>
      <w:pPr>
        <w:widowControl/>
        <w:shd w:val="clear" w:color="auto" w:fill="FFFFFF"/>
        <w:snapToGrid w:val="0"/>
        <w:spacing w:line="360" w:lineRule="auto"/>
        <w:ind w:firstLine="560" w:firstLineChars="200"/>
        <w:rPr>
          <w:rFonts w:hint="eastAsia" w:ascii="仿宋_GB2312" w:hAnsi="Helvetica Neue" w:eastAsia="仿宋_GB2312" w:cs="宋体"/>
          <w:color w:val="000000" w:themeColor="text1"/>
          <w:kern w:val="0"/>
          <w:sz w:val="28"/>
          <w:szCs w:val="28"/>
        </w:rPr>
      </w:pPr>
      <w:r>
        <w:rPr>
          <w:rFonts w:hint="eastAsia" w:ascii="仿宋_GB2312" w:hAnsi="Helvetica Neue" w:eastAsia="仿宋_GB2312" w:cs="宋体"/>
          <w:color w:val="000000" w:themeColor="text1"/>
          <w:kern w:val="0"/>
          <w:sz w:val="28"/>
          <w:szCs w:val="28"/>
        </w:rPr>
        <w:t>1</w:t>
      </w:r>
      <w:r>
        <w:rPr>
          <w:rFonts w:ascii="仿宋_GB2312" w:hAnsi="Helvetica Neue" w:eastAsia="仿宋_GB2312" w:cs="宋体"/>
          <w:color w:val="000000" w:themeColor="text1"/>
          <w:kern w:val="0"/>
          <w:sz w:val="28"/>
          <w:szCs w:val="28"/>
        </w:rPr>
        <w:t>.</w:t>
      </w:r>
      <w:r>
        <w:rPr>
          <w:rFonts w:hint="eastAsia" w:ascii="仿宋_GB2312" w:hAnsi="Helvetica Neue" w:eastAsia="仿宋_GB2312" w:cs="宋体"/>
          <w:color w:val="000000" w:themeColor="text1"/>
          <w:kern w:val="0"/>
          <w:sz w:val="28"/>
          <w:szCs w:val="28"/>
        </w:rPr>
        <w:t>平时利用人民防空工程应当经所在地区、县人民防空主管部门批准，并按规定使用。根据战时需要，人民防空工程必须在规定时限内完成平战转换。</w:t>
      </w:r>
    </w:p>
    <w:p>
      <w:pPr>
        <w:widowControl/>
        <w:shd w:val="clear" w:color="auto" w:fill="FFFFFF"/>
        <w:snapToGrid w:val="0"/>
        <w:spacing w:line="360" w:lineRule="auto"/>
        <w:ind w:firstLine="560" w:firstLineChars="200"/>
        <w:rPr>
          <w:rFonts w:hint="eastAsia" w:ascii="仿宋_GB2312" w:hAnsi="Helvetica Neue" w:eastAsia="仿宋_GB2312" w:cs="宋体"/>
          <w:color w:val="000000" w:themeColor="text1"/>
          <w:kern w:val="0"/>
          <w:sz w:val="28"/>
          <w:szCs w:val="28"/>
        </w:rPr>
      </w:pPr>
      <w:r>
        <w:rPr>
          <w:rFonts w:hint="eastAsia" w:ascii="仿宋_GB2312" w:hAnsi="Helvetica Neue" w:eastAsia="仿宋_GB2312" w:cs="宋体"/>
          <w:color w:val="000000" w:themeColor="text1"/>
          <w:kern w:val="0"/>
          <w:sz w:val="28"/>
          <w:szCs w:val="28"/>
        </w:rPr>
        <w:t>平时利用人民防空工程，应当保障进出道路、孔口、出入口等的畅通，不得改变人民防空工程主体结构，不得拆除人民防空工程设备设施。</w:t>
      </w:r>
    </w:p>
    <w:p>
      <w:pPr>
        <w:widowControl/>
        <w:shd w:val="clear" w:color="auto" w:fill="FFFFFF"/>
        <w:snapToGrid w:val="0"/>
        <w:spacing w:line="360" w:lineRule="auto"/>
        <w:ind w:firstLine="560" w:firstLineChars="200"/>
        <w:rPr>
          <w:rFonts w:hint="eastAsia" w:ascii="仿宋_GB2312" w:hAnsi="Helvetica Neue" w:eastAsia="仿宋_GB2312" w:cs="宋体"/>
          <w:color w:val="000000" w:themeColor="text1"/>
          <w:kern w:val="0"/>
          <w:sz w:val="28"/>
          <w:szCs w:val="28"/>
        </w:rPr>
      </w:pPr>
      <w:r>
        <w:rPr>
          <w:rFonts w:hint="eastAsia" w:ascii="仿宋_GB2312" w:hAnsi="Helvetica Neue" w:eastAsia="仿宋_GB2312" w:cs="宋体"/>
          <w:color w:val="000000" w:themeColor="text1"/>
          <w:kern w:val="0"/>
          <w:sz w:val="28"/>
          <w:szCs w:val="28"/>
        </w:rPr>
        <w:t>使用人民防空工程的单位和个人应当建立防火、防汛、治安等责任制度，确保人民防空工程的安全和防空效能。</w:t>
      </w:r>
    </w:p>
    <w:p>
      <w:pPr>
        <w:widowControl/>
        <w:shd w:val="clear" w:color="auto" w:fill="FFFFFF"/>
        <w:snapToGrid w:val="0"/>
        <w:spacing w:line="360" w:lineRule="auto"/>
        <w:ind w:firstLine="560" w:firstLineChars="200"/>
        <w:rPr>
          <w:rFonts w:hint="eastAsia" w:ascii="仿宋_GB2312" w:hAnsi="Helvetica Neue" w:eastAsia="仿宋_GB2312" w:cs="宋体"/>
          <w:color w:val="000000" w:themeColor="text1"/>
          <w:kern w:val="0"/>
          <w:sz w:val="28"/>
          <w:szCs w:val="28"/>
        </w:rPr>
      </w:pPr>
      <w:r>
        <w:rPr>
          <w:rFonts w:hint="eastAsia" w:ascii="仿宋_GB2312" w:hAnsi="Helvetica Neue" w:eastAsia="仿宋_GB2312" w:cs="宋体"/>
          <w:color w:val="000000" w:themeColor="text1"/>
          <w:kern w:val="0"/>
          <w:sz w:val="28"/>
          <w:szCs w:val="28"/>
        </w:rPr>
        <w:t>2</w:t>
      </w:r>
      <w:r>
        <w:rPr>
          <w:rFonts w:ascii="仿宋_GB2312" w:hAnsi="Helvetica Neue" w:eastAsia="仿宋_GB2312" w:cs="宋体"/>
          <w:color w:val="000000" w:themeColor="text1"/>
          <w:kern w:val="0"/>
          <w:sz w:val="28"/>
          <w:szCs w:val="28"/>
        </w:rPr>
        <w:t>.</w:t>
      </w:r>
      <w:r>
        <w:rPr>
          <w:rFonts w:hint="eastAsia" w:ascii="仿宋_GB2312" w:hAnsi="Helvetica Neue" w:eastAsia="仿宋_GB2312" w:cs="宋体"/>
          <w:color w:val="000000" w:themeColor="text1"/>
          <w:kern w:val="0"/>
          <w:sz w:val="28"/>
          <w:szCs w:val="28"/>
        </w:rPr>
        <w:t>任何组织或者个人不得进行影响人民防空工程使用或者降低防护能力的作业，不得向人民防空工程内排放废水、废气或者倾倒废弃物。</w:t>
      </w:r>
    </w:p>
    <w:p>
      <w:pPr>
        <w:pStyle w:val="47"/>
        <w:snapToGrid w:val="0"/>
        <w:spacing w:beforeLines="50" w:after="0" w:line="360" w:lineRule="auto"/>
        <w:ind w:left="0" w:leftChars="0" w:firstLine="562"/>
        <w:rPr>
          <w:rFonts w:ascii="仿宋_GB2312" w:hAnsi="Times New Roman" w:eastAsia="仿宋_GB2312"/>
          <w:b/>
          <w:color w:val="000000" w:themeColor="text1"/>
          <w:sz w:val="28"/>
          <w:szCs w:val="32"/>
        </w:rPr>
      </w:pPr>
      <w:r>
        <w:rPr>
          <w:rFonts w:hint="eastAsia" w:ascii="仿宋_GB2312" w:hAnsi="Times New Roman" w:eastAsia="仿宋_GB2312"/>
          <w:b/>
          <w:color w:val="000000" w:themeColor="text1"/>
          <w:sz w:val="28"/>
          <w:szCs w:val="32"/>
        </w:rPr>
        <w:t>根据《北京市人民防空工程和普通地下室安全使用管理规范（2022年版）》（京人防发〔2022〕73号）：</w:t>
      </w:r>
    </w:p>
    <w:p>
      <w:pPr>
        <w:pStyle w:val="23"/>
        <w:shd w:val="clear" w:color="auto" w:fill="FFFFFF"/>
        <w:snapToGrid w:val="0"/>
        <w:spacing w:before="0" w:beforeAutospacing="0" w:after="0" w:afterAutospacing="0" w:line="360" w:lineRule="auto"/>
        <w:ind w:firstLine="560" w:firstLineChars="200"/>
        <w:rPr>
          <w:rFonts w:ascii="仿宋_GB2312" w:hAnsi="方正仿宋_GB2312" w:eastAsia="仿宋_GB2312" w:cs="方正仿宋_GB2312"/>
          <w:color w:val="000000" w:themeColor="text1"/>
          <w:kern w:val="2"/>
          <w:sz w:val="28"/>
          <w:szCs w:val="28"/>
        </w:rPr>
      </w:pPr>
      <w:r>
        <w:rPr>
          <w:rFonts w:hint="eastAsia" w:ascii="仿宋_GB2312" w:hAnsi="方正仿宋_GB2312" w:eastAsia="仿宋_GB2312" w:cs="方正仿宋_GB2312"/>
          <w:color w:val="000000" w:themeColor="text1"/>
          <w:kern w:val="2"/>
          <w:sz w:val="28"/>
          <w:szCs w:val="28"/>
        </w:rPr>
        <w:t>1</w:t>
      </w:r>
      <w:r>
        <w:rPr>
          <w:rFonts w:ascii="仿宋_GB2312" w:hAnsi="方正仿宋_GB2312" w:eastAsia="仿宋_GB2312" w:cs="方正仿宋_GB2312"/>
          <w:color w:val="000000" w:themeColor="text1"/>
          <w:kern w:val="2"/>
          <w:sz w:val="28"/>
          <w:szCs w:val="28"/>
        </w:rPr>
        <w:t>.</w:t>
      </w:r>
      <w:r>
        <w:rPr>
          <w:rFonts w:hint="eastAsia" w:ascii="仿宋_GB2312" w:hAnsi="方正仿宋_GB2312" w:eastAsia="仿宋_GB2312" w:cs="方正仿宋_GB2312"/>
          <w:color w:val="000000" w:themeColor="text1"/>
          <w:kern w:val="2"/>
          <w:sz w:val="28"/>
          <w:szCs w:val="28"/>
        </w:rPr>
        <w:t>责任</w:t>
      </w:r>
    </w:p>
    <w:p>
      <w:pPr>
        <w:widowControl/>
        <w:shd w:val="clear" w:color="auto" w:fill="FFFFFF"/>
        <w:snapToGrid w:val="0"/>
        <w:spacing w:line="360" w:lineRule="auto"/>
        <w:jc w:val="left"/>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　　地下空间安全使用责任人与使用人应签订安全使用责任书，明确各自的安全使用责任与义务。</w:t>
      </w:r>
    </w:p>
    <w:p>
      <w:pPr>
        <w:widowControl/>
        <w:shd w:val="clear" w:color="auto" w:fill="FFFFFF"/>
        <w:snapToGrid w:val="0"/>
        <w:spacing w:line="360" w:lineRule="auto"/>
        <w:jc w:val="left"/>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　　安全使用责任人或使用人委托需社会消防技术服务机构对建筑消防设施每年至少进行一次全面检测。</w:t>
      </w:r>
    </w:p>
    <w:p>
      <w:pPr>
        <w:widowControl/>
        <w:shd w:val="clear" w:color="auto" w:fill="FFFFFF"/>
        <w:snapToGrid w:val="0"/>
        <w:spacing w:line="360" w:lineRule="auto"/>
        <w:ind w:firstLine="560" w:firstLineChars="200"/>
        <w:jc w:val="left"/>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人防工程是国家战备设施，一旦遇有战争或其他重大灾害，使用人必须无条件地按通知规定的时间，停止使用，并交付人民防空主管部门。</w:t>
      </w:r>
    </w:p>
    <w:p>
      <w:pPr>
        <w:widowControl/>
        <w:shd w:val="clear" w:color="auto" w:fill="FFFFFF"/>
        <w:snapToGrid w:val="0"/>
        <w:spacing w:line="360" w:lineRule="auto"/>
        <w:ind w:firstLine="560" w:firstLineChars="200"/>
        <w:jc w:val="left"/>
        <w:rPr>
          <w:rFonts w:ascii="仿宋_GB2312" w:hAnsi="方正仿宋_GB2312" w:eastAsia="仿宋_GB2312" w:cs="方正仿宋_GB2312"/>
          <w:color w:val="000000" w:themeColor="text1"/>
          <w:sz w:val="28"/>
          <w:szCs w:val="28"/>
        </w:rPr>
      </w:pPr>
      <w:r>
        <w:rPr>
          <w:rFonts w:ascii="仿宋_GB2312" w:hAnsi="方正仿宋_GB2312" w:eastAsia="仿宋_GB2312" w:cs="方正仿宋_GB2312"/>
          <w:color w:val="000000" w:themeColor="text1"/>
          <w:sz w:val="28"/>
          <w:szCs w:val="28"/>
        </w:rPr>
        <w:t>2.</w:t>
      </w:r>
      <w:r>
        <w:rPr>
          <w:rFonts w:hint="eastAsia" w:ascii="仿宋_GB2312" w:hAnsi="方正仿宋_GB2312" w:eastAsia="仿宋_GB2312" w:cs="方正仿宋_GB2312"/>
          <w:color w:val="000000" w:themeColor="text1"/>
          <w:sz w:val="28"/>
          <w:szCs w:val="28"/>
        </w:rPr>
        <w:t>安全使用责任人</w:t>
      </w:r>
    </w:p>
    <w:p>
      <w:pPr>
        <w:widowControl/>
        <w:shd w:val="clear" w:color="auto" w:fill="FFFFFF"/>
        <w:snapToGrid w:val="0"/>
        <w:spacing w:line="360" w:lineRule="auto"/>
        <w:ind w:firstLine="560"/>
        <w:jc w:val="left"/>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（1）地下空间使用应遵守国家和本市安全生产、消防安全和使用的相关法律法规。</w:t>
      </w:r>
    </w:p>
    <w:p>
      <w:pPr>
        <w:widowControl/>
        <w:shd w:val="clear" w:color="auto" w:fill="FFFFFF"/>
        <w:snapToGrid w:val="0"/>
        <w:spacing w:line="360" w:lineRule="auto"/>
        <w:ind w:firstLine="560" w:firstLineChars="200"/>
        <w:jc w:val="left"/>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（2）不得擅自改变地下空间工程的主体结构或拆除地下空间工程的设备设施。</w:t>
      </w:r>
    </w:p>
    <w:p>
      <w:pPr>
        <w:widowControl/>
        <w:shd w:val="clear" w:color="auto" w:fill="FFFFFF"/>
        <w:snapToGrid w:val="0"/>
        <w:spacing w:line="360" w:lineRule="auto"/>
        <w:ind w:firstLine="560" w:firstLineChars="200"/>
        <w:jc w:val="left"/>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w:t>
      </w:r>
      <w:r>
        <w:rPr>
          <w:rFonts w:ascii="仿宋_GB2312" w:hAnsi="方正仿宋_GB2312" w:eastAsia="仿宋_GB2312" w:cs="方正仿宋_GB2312"/>
          <w:color w:val="000000" w:themeColor="text1"/>
          <w:sz w:val="28"/>
          <w:szCs w:val="28"/>
        </w:rPr>
        <w:t>3</w:t>
      </w:r>
      <w:r>
        <w:rPr>
          <w:rFonts w:hint="eastAsia" w:ascii="仿宋_GB2312" w:hAnsi="方正仿宋_GB2312" w:eastAsia="仿宋_GB2312" w:cs="方正仿宋_GB2312"/>
          <w:color w:val="000000" w:themeColor="text1"/>
          <w:sz w:val="28"/>
          <w:szCs w:val="28"/>
        </w:rPr>
        <w:t>）定期组织巡查检查，对存在安全隐患的，应及时制止、纠正，并向有关行政主管部门报告。</w:t>
      </w:r>
    </w:p>
    <w:p>
      <w:pPr>
        <w:widowControl/>
        <w:shd w:val="clear" w:color="auto" w:fill="FFFFFF"/>
        <w:snapToGrid w:val="0"/>
        <w:spacing w:line="360" w:lineRule="auto"/>
        <w:ind w:firstLine="560" w:firstLineChars="200"/>
        <w:jc w:val="left"/>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w:t>
      </w:r>
      <w:r>
        <w:rPr>
          <w:rFonts w:ascii="仿宋_GB2312" w:hAnsi="方正仿宋_GB2312" w:eastAsia="仿宋_GB2312" w:cs="方正仿宋_GB2312"/>
          <w:color w:val="000000" w:themeColor="text1"/>
          <w:sz w:val="28"/>
          <w:szCs w:val="28"/>
        </w:rPr>
        <w:t>4</w:t>
      </w:r>
      <w:r>
        <w:rPr>
          <w:rFonts w:hint="eastAsia" w:ascii="仿宋_GB2312" w:hAnsi="方正仿宋_GB2312" w:eastAsia="仿宋_GB2312" w:cs="方正仿宋_GB2312"/>
          <w:color w:val="000000" w:themeColor="text1"/>
          <w:sz w:val="28"/>
          <w:szCs w:val="28"/>
        </w:rPr>
        <w:t>）发生安全事故的，需配合协助相关行政管理部门作好调查处理工作。</w:t>
      </w:r>
    </w:p>
    <w:p>
      <w:pPr>
        <w:widowControl/>
        <w:shd w:val="clear" w:color="auto" w:fill="FFFFFF"/>
        <w:snapToGrid w:val="0"/>
        <w:spacing w:line="360" w:lineRule="auto"/>
        <w:ind w:firstLine="560" w:firstLineChars="200"/>
        <w:jc w:val="left"/>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w:t>
      </w:r>
      <w:r>
        <w:rPr>
          <w:rFonts w:ascii="仿宋_GB2312" w:hAnsi="方正仿宋_GB2312" w:eastAsia="仿宋_GB2312" w:cs="方正仿宋_GB2312"/>
          <w:color w:val="000000" w:themeColor="text1"/>
          <w:sz w:val="28"/>
          <w:szCs w:val="28"/>
        </w:rPr>
        <w:t>5</w:t>
      </w:r>
      <w:r>
        <w:rPr>
          <w:rFonts w:hint="eastAsia" w:ascii="仿宋_GB2312" w:hAnsi="方正仿宋_GB2312" w:eastAsia="仿宋_GB2312" w:cs="方正仿宋_GB2312"/>
          <w:color w:val="000000" w:themeColor="text1"/>
          <w:sz w:val="28"/>
          <w:szCs w:val="28"/>
        </w:rPr>
        <w:t>）负责建立人防工程设备设施和安全设施检查、维修管理制度，定期检查及维修，保障人防工程设备设施正常使用。</w:t>
      </w:r>
    </w:p>
    <w:p>
      <w:pPr>
        <w:widowControl/>
        <w:shd w:val="clear" w:color="auto" w:fill="FFFFFF"/>
        <w:snapToGrid w:val="0"/>
        <w:spacing w:line="360" w:lineRule="auto"/>
        <w:jc w:val="left"/>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　　（</w:t>
      </w:r>
      <w:r>
        <w:rPr>
          <w:rFonts w:ascii="仿宋_GB2312" w:hAnsi="方正仿宋_GB2312" w:eastAsia="仿宋_GB2312" w:cs="方正仿宋_GB2312"/>
          <w:color w:val="000000" w:themeColor="text1"/>
          <w:sz w:val="28"/>
          <w:szCs w:val="28"/>
        </w:rPr>
        <w:t>6</w:t>
      </w:r>
      <w:r>
        <w:rPr>
          <w:rFonts w:hint="eastAsia" w:ascii="仿宋_GB2312" w:hAnsi="方正仿宋_GB2312" w:eastAsia="仿宋_GB2312" w:cs="方正仿宋_GB2312"/>
          <w:color w:val="000000" w:themeColor="text1"/>
          <w:sz w:val="28"/>
          <w:szCs w:val="28"/>
        </w:rPr>
        <w:t>）使用业主共有的普通地下室，应当经参与表决专有部分面积四分之三以上的业主且参与表决人数四分之三以上的业主同意。</w:t>
      </w:r>
    </w:p>
    <w:p>
      <w:pPr>
        <w:widowControl/>
        <w:shd w:val="clear" w:color="auto" w:fill="FFFFFF"/>
        <w:snapToGrid w:val="0"/>
        <w:spacing w:line="360" w:lineRule="auto"/>
        <w:jc w:val="left"/>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　　（</w:t>
      </w:r>
      <w:r>
        <w:rPr>
          <w:rFonts w:ascii="仿宋_GB2312" w:hAnsi="方正仿宋_GB2312" w:eastAsia="仿宋_GB2312" w:cs="方正仿宋_GB2312"/>
          <w:color w:val="000000" w:themeColor="text1"/>
          <w:sz w:val="28"/>
          <w:szCs w:val="28"/>
        </w:rPr>
        <w:t>7</w:t>
      </w:r>
      <w:r>
        <w:rPr>
          <w:rFonts w:hint="eastAsia" w:ascii="仿宋_GB2312" w:hAnsi="方正仿宋_GB2312" w:eastAsia="仿宋_GB2312" w:cs="方正仿宋_GB2312"/>
          <w:color w:val="000000" w:themeColor="text1"/>
          <w:sz w:val="28"/>
          <w:szCs w:val="28"/>
        </w:rPr>
        <w:t>）使用人防工程，应按照所在地区人民防空主管部门批准的要求使用。</w:t>
      </w:r>
    </w:p>
    <w:p>
      <w:pPr>
        <w:widowControl/>
        <w:shd w:val="clear" w:color="auto" w:fill="FFFFFF"/>
        <w:snapToGrid w:val="0"/>
        <w:spacing w:line="360" w:lineRule="auto"/>
        <w:jc w:val="left"/>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　　（</w:t>
      </w:r>
      <w:r>
        <w:rPr>
          <w:rFonts w:ascii="仿宋_GB2312" w:hAnsi="方正仿宋_GB2312" w:eastAsia="仿宋_GB2312" w:cs="方正仿宋_GB2312"/>
          <w:color w:val="000000" w:themeColor="text1"/>
          <w:sz w:val="28"/>
          <w:szCs w:val="28"/>
        </w:rPr>
        <w:t>8</w:t>
      </w:r>
      <w:r>
        <w:rPr>
          <w:rFonts w:hint="eastAsia" w:ascii="仿宋_GB2312" w:hAnsi="方正仿宋_GB2312" w:eastAsia="仿宋_GB2312" w:cs="方正仿宋_GB2312"/>
          <w:color w:val="000000" w:themeColor="text1"/>
          <w:sz w:val="28"/>
          <w:szCs w:val="28"/>
        </w:rPr>
        <w:t>）使用人防工程应具备人民防空行政主管部门制发的人防工程使用许可证；使用普通地下室从事商业、文化娱乐业以及其他生产经营活动的应具备住房城乡建设行政主管部门出具的使用备案证明。</w:t>
      </w:r>
    </w:p>
    <w:p>
      <w:pPr>
        <w:widowControl/>
        <w:shd w:val="clear" w:color="auto" w:fill="FFFFFF"/>
        <w:snapToGrid w:val="0"/>
        <w:spacing w:line="360" w:lineRule="auto"/>
        <w:jc w:val="left"/>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　　（</w:t>
      </w:r>
      <w:r>
        <w:rPr>
          <w:rFonts w:ascii="仿宋_GB2312" w:hAnsi="方正仿宋_GB2312" w:eastAsia="仿宋_GB2312" w:cs="方正仿宋_GB2312"/>
          <w:color w:val="000000" w:themeColor="text1"/>
          <w:sz w:val="28"/>
          <w:szCs w:val="28"/>
        </w:rPr>
        <w:t>9</w:t>
      </w:r>
      <w:r>
        <w:rPr>
          <w:rFonts w:hint="eastAsia" w:ascii="仿宋_GB2312" w:hAnsi="方正仿宋_GB2312" w:eastAsia="仿宋_GB2312" w:cs="方正仿宋_GB2312"/>
          <w:color w:val="000000" w:themeColor="text1"/>
          <w:sz w:val="28"/>
          <w:szCs w:val="28"/>
        </w:rPr>
        <w:t>）不得将地下空间出租给无合法有效证件、证明的单位或者个人。</w:t>
      </w:r>
    </w:p>
    <w:p>
      <w:pPr>
        <w:widowControl/>
        <w:shd w:val="clear" w:color="auto" w:fill="FFFFFF"/>
        <w:snapToGrid w:val="0"/>
        <w:spacing w:line="360" w:lineRule="auto"/>
        <w:jc w:val="left"/>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　　（1</w:t>
      </w:r>
      <w:r>
        <w:rPr>
          <w:rFonts w:ascii="仿宋_GB2312" w:hAnsi="方正仿宋_GB2312" w:eastAsia="仿宋_GB2312" w:cs="方正仿宋_GB2312"/>
          <w:color w:val="000000" w:themeColor="text1"/>
          <w:sz w:val="28"/>
          <w:szCs w:val="28"/>
        </w:rPr>
        <w:t>0</w:t>
      </w:r>
      <w:r>
        <w:rPr>
          <w:rFonts w:hint="eastAsia" w:ascii="仿宋_GB2312" w:hAnsi="方正仿宋_GB2312" w:eastAsia="仿宋_GB2312" w:cs="方正仿宋_GB2312"/>
          <w:color w:val="000000" w:themeColor="text1"/>
          <w:sz w:val="28"/>
          <w:szCs w:val="28"/>
        </w:rPr>
        <w:t>）负责地下空间内的有限空间的安全使用责任。配置与有限空间作业相匹配的安全防护设备、个人防护设备和应急救援装备。</w:t>
      </w:r>
    </w:p>
    <w:p>
      <w:pPr>
        <w:widowControl/>
        <w:shd w:val="clear" w:color="auto" w:fill="FFFFFF"/>
        <w:tabs>
          <w:tab w:val="left" w:pos="2025"/>
        </w:tabs>
        <w:snapToGrid w:val="0"/>
        <w:spacing w:line="360" w:lineRule="auto"/>
        <w:ind w:firstLine="560" w:firstLineChars="200"/>
        <w:jc w:val="left"/>
        <w:rPr>
          <w:rFonts w:ascii="仿宋_GB2312" w:hAnsi="方正仿宋_GB2312" w:eastAsia="仿宋_GB2312" w:cs="方正仿宋_GB2312"/>
          <w:color w:val="000000" w:themeColor="text1"/>
          <w:sz w:val="28"/>
          <w:szCs w:val="28"/>
        </w:rPr>
      </w:pPr>
      <w:r>
        <w:rPr>
          <w:rFonts w:ascii="仿宋_GB2312" w:hAnsi="方正仿宋_GB2312" w:eastAsia="仿宋_GB2312" w:cs="方正仿宋_GB2312"/>
          <w:color w:val="000000" w:themeColor="text1"/>
          <w:sz w:val="28"/>
          <w:szCs w:val="28"/>
        </w:rPr>
        <w:t>3.</w:t>
      </w:r>
      <w:r>
        <w:rPr>
          <w:rFonts w:hint="eastAsia" w:ascii="仿宋_GB2312" w:hAnsi="方正仿宋_GB2312" w:eastAsia="仿宋_GB2312" w:cs="方正仿宋_GB2312"/>
          <w:color w:val="000000" w:themeColor="text1"/>
          <w:sz w:val="28"/>
          <w:szCs w:val="28"/>
        </w:rPr>
        <w:t>岗位责任</w:t>
      </w:r>
      <w:r>
        <w:rPr>
          <w:rFonts w:ascii="仿宋_GB2312" w:hAnsi="方正仿宋_GB2312" w:eastAsia="仿宋_GB2312" w:cs="方正仿宋_GB2312"/>
          <w:color w:val="000000" w:themeColor="text1"/>
          <w:sz w:val="28"/>
          <w:szCs w:val="28"/>
        </w:rPr>
        <w:tab/>
      </w:r>
    </w:p>
    <w:p>
      <w:pPr>
        <w:widowControl/>
        <w:shd w:val="clear" w:color="auto" w:fill="FFFFFF"/>
        <w:snapToGrid w:val="0"/>
        <w:spacing w:line="360" w:lineRule="auto"/>
        <w:jc w:val="left"/>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　　本市地下空间安全使用，坚持谁所有谁负责，谁使用谁负责的原则。逐级落实消防安全责任制度和岗位消防安全责任制，明确逐级和岗位消防安全职责，确定各级、各岗位消防安全责任人。</w:t>
      </w:r>
    </w:p>
    <w:p>
      <w:pPr>
        <w:widowControl/>
        <w:shd w:val="clear" w:color="auto" w:fill="FFFFFF"/>
        <w:tabs>
          <w:tab w:val="left" w:pos="2025"/>
        </w:tabs>
        <w:snapToGrid w:val="0"/>
        <w:spacing w:line="360" w:lineRule="auto"/>
        <w:ind w:firstLine="560" w:firstLineChars="200"/>
        <w:jc w:val="left"/>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地下空间安全使用责任由安全使用责任人承担，安全使用责任人是地下空间的消防安全责任人。</w:t>
      </w:r>
    </w:p>
    <w:p>
      <w:pPr>
        <w:widowControl/>
        <w:shd w:val="clear" w:color="auto" w:fill="FFFFFF"/>
        <w:tabs>
          <w:tab w:val="left" w:pos="2025"/>
        </w:tabs>
        <w:snapToGrid w:val="0"/>
        <w:spacing w:line="360" w:lineRule="auto"/>
        <w:ind w:firstLine="560" w:firstLineChars="200"/>
        <w:jc w:val="left"/>
        <w:rPr>
          <w:rFonts w:ascii="仿宋_GB2312" w:hAnsi="方正仿宋_GB2312" w:eastAsia="仿宋_GB2312" w:cs="方正仿宋_GB2312"/>
          <w:color w:val="000000" w:themeColor="text1"/>
          <w:sz w:val="28"/>
          <w:szCs w:val="28"/>
        </w:rPr>
      </w:pPr>
      <w:r>
        <w:rPr>
          <w:rFonts w:ascii="仿宋_GB2312" w:hAnsi="方正仿宋_GB2312" w:eastAsia="仿宋_GB2312" w:cs="方正仿宋_GB2312"/>
          <w:color w:val="000000" w:themeColor="text1"/>
          <w:sz w:val="28"/>
          <w:szCs w:val="28"/>
        </w:rPr>
        <w:t>4.</w:t>
      </w:r>
      <w:r>
        <w:rPr>
          <w:rFonts w:hint="eastAsia" w:ascii="仿宋_GB2312" w:hAnsi="方正仿宋_GB2312" w:eastAsia="仿宋_GB2312" w:cs="方正仿宋_GB2312"/>
          <w:color w:val="000000" w:themeColor="text1"/>
          <w:sz w:val="28"/>
          <w:szCs w:val="28"/>
        </w:rPr>
        <w:t>隐患报告</w:t>
      </w:r>
    </w:p>
    <w:p>
      <w:pPr>
        <w:widowControl/>
        <w:shd w:val="clear" w:color="auto" w:fill="FFFFFF"/>
        <w:tabs>
          <w:tab w:val="left" w:pos="2025"/>
        </w:tabs>
        <w:snapToGrid w:val="0"/>
        <w:spacing w:line="360" w:lineRule="auto"/>
        <w:ind w:firstLine="560" w:firstLineChars="200"/>
        <w:jc w:val="left"/>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地下空间安全使用责任人或使用人应定期排查地下空间安全隐患，发现隐患应立即整改，隐患整改未完成不得使用。</w:t>
      </w:r>
    </w:p>
    <w:p>
      <w:pPr>
        <w:widowControl/>
        <w:shd w:val="clear" w:color="auto" w:fill="FFFFFF"/>
        <w:tabs>
          <w:tab w:val="left" w:pos="2025"/>
        </w:tabs>
        <w:snapToGrid w:val="0"/>
        <w:spacing w:line="360" w:lineRule="auto"/>
        <w:ind w:firstLine="560" w:firstLineChars="200"/>
        <w:jc w:val="left"/>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任何单位或者个人发现地下空间存在安全隐患的，应及时向相关行政主管部门报告。接到报告的行政主管部门应及时核实，依法处理。</w:t>
      </w:r>
    </w:p>
    <w:p>
      <w:pPr>
        <w:widowControl/>
        <w:shd w:val="clear" w:color="auto" w:fill="FFFFFF"/>
        <w:tabs>
          <w:tab w:val="left" w:pos="2025"/>
        </w:tabs>
        <w:snapToGrid w:val="0"/>
        <w:spacing w:line="360" w:lineRule="auto"/>
        <w:ind w:firstLine="560" w:firstLineChars="200"/>
        <w:jc w:val="left"/>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5</w:t>
      </w:r>
      <w:r>
        <w:rPr>
          <w:rFonts w:ascii="仿宋_GB2312" w:hAnsi="方正仿宋_GB2312" w:eastAsia="仿宋_GB2312" w:cs="方正仿宋_GB2312"/>
          <w:color w:val="000000" w:themeColor="text1"/>
          <w:sz w:val="28"/>
          <w:szCs w:val="28"/>
        </w:rPr>
        <w:t>.</w:t>
      </w:r>
      <w:r>
        <w:rPr>
          <w:rFonts w:hint="eastAsia" w:ascii="仿宋_GB2312" w:hAnsi="方正仿宋_GB2312" w:eastAsia="仿宋_GB2312" w:cs="方正仿宋_GB2312"/>
          <w:color w:val="000000" w:themeColor="text1"/>
          <w:sz w:val="28"/>
          <w:szCs w:val="28"/>
        </w:rPr>
        <w:t>应急预案</w:t>
      </w:r>
    </w:p>
    <w:p>
      <w:pPr>
        <w:widowControl/>
        <w:shd w:val="clear" w:color="auto" w:fill="FFFFFF"/>
        <w:tabs>
          <w:tab w:val="left" w:pos="2025"/>
        </w:tabs>
        <w:snapToGrid w:val="0"/>
        <w:spacing w:line="360" w:lineRule="auto"/>
        <w:ind w:firstLine="560" w:firstLineChars="200"/>
        <w:jc w:val="left"/>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1）安全使用责任人或使用人应制定防灾救灾应急预案，针对可能发生的火灾、拥挤踩踏、触电、燃气热力管线泄漏、雨水倒灌等事故制定应急预案。定期组织救援演练，每半年不得少于1次。负责安全管理的人员应熟悉应急预案的全部内容，具备应急指挥能力，熟悉安全出入口和疏散通道的位置，掌握本岗位的应急职责。</w:t>
      </w:r>
    </w:p>
    <w:p>
      <w:pPr>
        <w:widowControl/>
        <w:shd w:val="clear" w:color="auto" w:fill="FFFFFF"/>
        <w:tabs>
          <w:tab w:val="left" w:pos="2025"/>
        </w:tabs>
        <w:snapToGrid w:val="0"/>
        <w:spacing w:line="360" w:lineRule="auto"/>
        <w:ind w:firstLine="560" w:firstLineChars="200"/>
        <w:jc w:val="left"/>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（2）安全使用责任人或使用人应对应急预案演练效果进行评估。根据评估结果，修订、完善应急预案，改进应急管理工作，保存完整的记录。</w:t>
      </w:r>
    </w:p>
    <w:p>
      <w:pPr>
        <w:widowControl/>
        <w:shd w:val="clear" w:color="auto" w:fill="FFFFFF"/>
        <w:tabs>
          <w:tab w:val="left" w:pos="2025"/>
        </w:tabs>
        <w:snapToGrid w:val="0"/>
        <w:spacing w:line="360" w:lineRule="auto"/>
        <w:ind w:firstLine="560" w:firstLineChars="200"/>
        <w:jc w:val="left"/>
        <w:rPr>
          <w:rFonts w:ascii="仿宋_GB2312" w:hAnsi="方正仿宋_GB2312" w:eastAsia="仿宋_GB2312" w:cs="方正仿宋_GB2312"/>
          <w:color w:val="000000" w:themeColor="text1"/>
          <w:sz w:val="28"/>
          <w:szCs w:val="28"/>
        </w:rPr>
      </w:pPr>
      <w:r>
        <w:rPr>
          <w:rFonts w:ascii="仿宋_GB2312" w:hAnsi="方正仿宋_GB2312" w:eastAsia="仿宋_GB2312" w:cs="方正仿宋_GB2312"/>
          <w:color w:val="000000" w:themeColor="text1"/>
          <w:sz w:val="28"/>
          <w:szCs w:val="28"/>
        </w:rPr>
        <w:t>6.</w:t>
      </w:r>
      <w:r>
        <w:rPr>
          <w:rFonts w:hint="eastAsia" w:ascii="仿宋_GB2312" w:hAnsi="方正仿宋_GB2312" w:eastAsia="仿宋_GB2312" w:cs="方正仿宋_GB2312"/>
          <w:color w:val="000000" w:themeColor="text1"/>
          <w:sz w:val="28"/>
          <w:szCs w:val="28"/>
        </w:rPr>
        <w:t>地下空间内禁止有下列行为：</w:t>
      </w:r>
    </w:p>
    <w:p>
      <w:pPr>
        <w:widowControl/>
        <w:shd w:val="clear" w:color="auto" w:fill="FFFFFF"/>
        <w:tabs>
          <w:tab w:val="left" w:pos="2025"/>
        </w:tabs>
        <w:snapToGrid w:val="0"/>
        <w:spacing w:line="360" w:lineRule="auto"/>
        <w:ind w:firstLine="560" w:firstLineChars="200"/>
        <w:jc w:val="left"/>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（1）擅自改变地下空间的规划用途；</w:t>
      </w:r>
    </w:p>
    <w:p>
      <w:pPr>
        <w:widowControl/>
        <w:shd w:val="clear" w:color="auto" w:fill="FFFFFF"/>
        <w:snapToGrid w:val="0"/>
        <w:spacing w:line="360" w:lineRule="auto"/>
        <w:rPr>
          <w:rFonts w:hint="eastAsia" w:ascii="仿宋_GB2312" w:hAnsi="Helvetica Neue" w:eastAsia="仿宋_GB2312" w:cs="宋体"/>
          <w:color w:val="000000" w:themeColor="text1"/>
          <w:kern w:val="0"/>
          <w:sz w:val="28"/>
          <w:szCs w:val="28"/>
        </w:rPr>
      </w:pPr>
      <w:r>
        <w:rPr>
          <w:rFonts w:hint="eastAsia" w:ascii="仿宋_GB2312" w:hAnsi="方正仿宋_GB2312" w:eastAsia="仿宋_GB2312" w:cs="方正仿宋_GB2312"/>
          <w:color w:val="000000" w:themeColor="text1"/>
          <w:sz w:val="28"/>
          <w:szCs w:val="28"/>
        </w:rPr>
        <w:t>　　（2）</w:t>
      </w:r>
      <w:r>
        <w:rPr>
          <w:rFonts w:hint="eastAsia" w:ascii="仿宋_GB2312" w:hAnsi="Helvetica Neue" w:eastAsia="仿宋_GB2312" w:cs="宋体"/>
          <w:color w:val="000000" w:themeColor="text1"/>
          <w:kern w:val="0"/>
          <w:sz w:val="28"/>
          <w:szCs w:val="28"/>
        </w:rPr>
        <w:t>擅自将规划用途为非居住用途的地下空间用于居住；</w:t>
      </w:r>
    </w:p>
    <w:p>
      <w:pPr>
        <w:widowControl/>
        <w:shd w:val="clear" w:color="auto" w:fill="FFFFFF"/>
        <w:snapToGrid w:val="0"/>
        <w:spacing w:line="360" w:lineRule="auto"/>
        <w:rPr>
          <w:rFonts w:hint="eastAsia" w:ascii="仿宋_GB2312" w:hAnsi="Helvetica Neue" w:eastAsia="仿宋_GB2312" w:cs="宋体"/>
          <w:color w:val="000000" w:themeColor="text1"/>
          <w:kern w:val="0"/>
          <w:sz w:val="28"/>
          <w:szCs w:val="28"/>
        </w:rPr>
      </w:pPr>
      <w:r>
        <w:rPr>
          <w:rFonts w:hint="eastAsia" w:ascii="仿宋_GB2312" w:hAnsi="Helvetica Neue" w:eastAsia="仿宋_GB2312" w:cs="宋体"/>
          <w:color w:val="000000" w:themeColor="text1"/>
          <w:kern w:val="0"/>
          <w:sz w:val="28"/>
          <w:szCs w:val="28"/>
        </w:rPr>
        <w:t>　　</w:t>
      </w:r>
      <w:r>
        <w:rPr>
          <w:rFonts w:hint="eastAsia" w:ascii="仿宋_GB2312" w:hAnsi="方正仿宋_GB2312" w:eastAsia="仿宋_GB2312" w:cs="方正仿宋_GB2312"/>
          <w:color w:val="000000" w:themeColor="text1"/>
          <w:sz w:val="28"/>
          <w:szCs w:val="28"/>
        </w:rPr>
        <w:t>（3）</w:t>
      </w:r>
      <w:r>
        <w:rPr>
          <w:rFonts w:hint="eastAsia" w:ascii="仿宋_GB2312" w:hAnsi="Helvetica Neue" w:eastAsia="仿宋_GB2312" w:cs="宋体"/>
          <w:color w:val="000000" w:themeColor="text1"/>
          <w:kern w:val="0"/>
          <w:sz w:val="28"/>
          <w:szCs w:val="28"/>
        </w:rPr>
        <w:t>擅自改变地下空间的主体结构；</w:t>
      </w:r>
    </w:p>
    <w:p>
      <w:pPr>
        <w:widowControl/>
        <w:shd w:val="clear" w:color="auto" w:fill="FFFFFF"/>
        <w:snapToGrid w:val="0"/>
        <w:spacing w:line="360" w:lineRule="auto"/>
        <w:rPr>
          <w:rFonts w:hint="eastAsia" w:ascii="仿宋_GB2312" w:hAnsi="Helvetica Neue" w:eastAsia="仿宋_GB2312" w:cs="宋体"/>
          <w:color w:val="000000" w:themeColor="text1"/>
          <w:kern w:val="0"/>
          <w:sz w:val="28"/>
          <w:szCs w:val="28"/>
        </w:rPr>
      </w:pPr>
      <w:r>
        <w:rPr>
          <w:rFonts w:hint="eastAsia" w:ascii="仿宋_GB2312" w:hAnsi="Helvetica Neue" w:eastAsia="仿宋_GB2312" w:cs="宋体"/>
          <w:color w:val="000000" w:themeColor="text1"/>
          <w:kern w:val="0"/>
          <w:sz w:val="28"/>
          <w:szCs w:val="28"/>
        </w:rPr>
        <w:t>　　</w:t>
      </w:r>
      <w:r>
        <w:rPr>
          <w:rFonts w:hint="eastAsia" w:ascii="仿宋_GB2312" w:hAnsi="方正仿宋_GB2312" w:eastAsia="仿宋_GB2312" w:cs="方正仿宋_GB2312"/>
          <w:color w:val="000000" w:themeColor="text1"/>
          <w:sz w:val="28"/>
          <w:szCs w:val="28"/>
        </w:rPr>
        <w:t>（4）</w:t>
      </w:r>
      <w:r>
        <w:rPr>
          <w:rFonts w:hint="eastAsia" w:ascii="仿宋_GB2312" w:hAnsi="Helvetica Neue" w:eastAsia="仿宋_GB2312" w:cs="宋体"/>
          <w:color w:val="000000" w:themeColor="text1"/>
          <w:kern w:val="0"/>
          <w:sz w:val="28"/>
          <w:szCs w:val="28"/>
        </w:rPr>
        <w:t>向地下空间内及其孔口周围20米范围内排放废水、废气或者倾倒废弃物；</w:t>
      </w:r>
    </w:p>
    <w:p>
      <w:pPr>
        <w:widowControl/>
        <w:shd w:val="clear" w:color="auto" w:fill="FFFFFF"/>
        <w:snapToGrid w:val="0"/>
        <w:spacing w:line="360" w:lineRule="auto"/>
        <w:rPr>
          <w:rFonts w:hint="eastAsia" w:ascii="仿宋_GB2312" w:hAnsi="Helvetica Neue" w:eastAsia="仿宋_GB2312" w:cs="宋体"/>
          <w:color w:val="000000" w:themeColor="text1"/>
          <w:kern w:val="0"/>
          <w:sz w:val="28"/>
          <w:szCs w:val="28"/>
        </w:rPr>
      </w:pPr>
      <w:r>
        <w:rPr>
          <w:rFonts w:hint="eastAsia" w:ascii="仿宋_GB2312" w:hAnsi="Helvetica Neue" w:eastAsia="仿宋_GB2312" w:cs="宋体"/>
          <w:color w:val="000000" w:themeColor="text1"/>
          <w:kern w:val="0"/>
          <w:sz w:val="28"/>
          <w:szCs w:val="28"/>
        </w:rPr>
        <w:t>　　</w:t>
      </w:r>
      <w:r>
        <w:rPr>
          <w:rFonts w:hint="eastAsia" w:ascii="仿宋_GB2312" w:hAnsi="方正仿宋_GB2312" w:eastAsia="仿宋_GB2312" w:cs="方正仿宋_GB2312"/>
          <w:color w:val="000000" w:themeColor="text1"/>
          <w:sz w:val="28"/>
          <w:szCs w:val="28"/>
        </w:rPr>
        <w:t>（5）</w:t>
      </w:r>
      <w:r>
        <w:rPr>
          <w:rFonts w:hint="eastAsia" w:ascii="仿宋_GB2312" w:hAnsi="Helvetica Neue" w:eastAsia="仿宋_GB2312" w:cs="宋体"/>
          <w:color w:val="000000" w:themeColor="text1"/>
          <w:kern w:val="0"/>
          <w:sz w:val="28"/>
          <w:szCs w:val="28"/>
        </w:rPr>
        <w:t>擅自拆除、损坏、损毁、停用各类安全设施设备，切断消防电源、水源，占用防火间距，堵塞消防通道；</w:t>
      </w:r>
    </w:p>
    <w:p>
      <w:pPr>
        <w:widowControl/>
        <w:shd w:val="clear" w:color="auto" w:fill="FFFFFF"/>
        <w:snapToGrid w:val="0"/>
        <w:spacing w:line="360" w:lineRule="auto"/>
        <w:ind w:firstLine="560"/>
        <w:rPr>
          <w:rFonts w:hint="eastAsia" w:ascii="仿宋_GB2312" w:hAnsi="Helvetica Neue" w:eastAsia="仿宋_GB2312" w:cs="宋体"/>
          <w:color w:val="000000" w:themeColor="text1"/>
          <w:kern w:val="0"/>
          <w:sz w:val="28"/>
          <w:szCs w:val="28"/>
        </w:rPr>
      </w:pPr>
      <w:r>
        <w:rPr>
          <w:rFonts w:hint="eastAsia" w:ascii="仿宋_GB2312" w:hAnsi="方正仿宋_GB2312" w:eastAsia="仿宋_GB2312" w:cs="方正仿宋_GB2312"/>
          <w:color w:val="000000" w:themeColor="text1"/>
          <w:sz w:val="28"/>
          <w:szCs w:val="28"/>
        </w:rPr>
        <w:t>（6）</w:t>
      </w:r>
      <w:r>
        <w:rPr>
          <w:rFonts w:hint="eastAsia" w:ascii="仿宋_GB2312" w:hAnsi="Helvetica Neue" w:eastAsia="仿宋_GB2312" w:cs="宋体"/>
          <w:color w:val="000000" w:themeColor="text1"/>
          <w:kern w:val="0"/>
          <w:sz w:val="28"/>
          <w:szCs w:val="28"/>
        </w:rPr>
        <w:t>在危及地道式、掘开式和附建式人防工程安全范围（人防工程围护墙外侧5米）以内取土、爆破、打桩、埋设管道和修建地面工程设施；</w:t>
      </w:r>
    </w:p>
    <w:p>
      <w:pPr>
        <w:widowControl/>
        <w:shd w:val="clear" w:color="auto" w:fill="FFFFFF"/>
        <w:snapToGrid w:val="0"/>
        <w:spacing w:line="360" w:lineRule="auto"/>
        <w:ind w:firstLine="560"/>
        <w:rPr>
          <w:rFonts w:hint="eastAsia" w:ascii="仿宋_GB2312" w:hAnsi="Helvetica Neue" w:eastAsia="仿宋_GB2312" w:cs="宋体"/>
          <w:color w:val="000000" w:themeColor="text1"/>
          <w:kern w:val="0"/>
          <w:sz w:val="28"/>
          <w:szCs w:val="28"/>
        </w:rPr>
      </w:pPr>
      <w:r>
        <w:rPr>
          <w:rFonts w:hint="eastAsia" w:ascii="仿宋_GB2312" w:hAnsi="Helvetica Neue" w:eastAsia="仿宋_GB2312" w:cs="宋体"/>
          <w:color w:val="000000" w:themeColor="text1"/>
          <w:kern w:val="0"/>
          <w:sz w:val="28"/>
          <w:szCs w:val="28"/>
        </w:rPr>
        <w:t>（7）未经人民防空主管部门批准在人防工程50米范围内进行取土、采石以及其他影响人防工程使用或者降低人防工程防护能力的作业；</w:t>
      </w:r>
    </w:p>
    <w:p>
      <w:pPr>
        <w:widowControl/>
        <w:shd w:val="clear" w:color="auto" w:fill="FFFFFF"/>
        <w:snapToGrid w:val="0"/>
        <w:spacing w:line="360" w:lineRule="auto"/>
        <w:rPr>
          <w:rFonts w:hint="eastAsia" w:ascii="仿宋_GB2312" w:hAnsi="Helvetica Neue" w:eastAsia="仿宋_GB2312" w:cs="宋体"/>
          <w:color w:val="000000" w:themeColor="text1"/>
          <w:kern w:val="0"/>
          <w:sz w:val="28"/>
          <w:szCs w:val="28"/>
        </w:rPr>
      </w:pPr>
      <w:r>
        <w:rPr>
          <w:rFonts w:hint="eastAsia" w:ascii="仿宋_GB2312" w:hAnsi="Helvetica Neue" w:eastAsia="仿宋_GB2312" w:cs="宋体"/>
          <w:color w:val="000000" w:themeColor="text1"/>
          <w:kern w:val="0"/>
          <w:sz w:val="28"/>
          <w:szCs w:val="28"/>
        </w:rPr>
        <w:t>　　</w:t>
      </w:r>
      <w:r>
        <w:rPr>
          <w:rFonts w:hint="eastAsia" w:ascii="仿宋_GB2312" w:hAnsi="方正仿宋_GB2312" w:eastAsia="仿宋_GB2312" w:cs="方正仿宋_GB2312"/>
          <w:color w:val="000000" w:themeColor="text1"/>
          <w:sz w:val="28"/>
          <w:szCs w:val="28"/>
        </w:rPr>
        <w:t>（8）</w:t>
      </w:r>
      <w:r>
        <w:rPr>
          <w:rFonts w:hint="eastAsia" w:ascii="仿宋_GB2312" w:hAnsi="Helvetica Neue" w:eastAsia="仿宋_GB2312" w:cs="宋体"/>
          <w:color w:val="000000" w:themeColor="text1"/>
          <w:kern w:val="0"/>
          <w:sz w:val="28"/>
          <w:szCs w:val="28"/>
        </w:rPr>
        <w:t>占用疏散通道或者在疏散通道和安全出入口设置影响疏散的障碍物，在使用期间不得封闭安全出入口，不得遮挡安全疏散指示标识；</w:t>
      </w:r>
    </w:p>
    <w:p>
      <w:pPr>
        <w:widowControl/>
        <w:shd w:val="clear" w:color="auto" w:fill="FFFFFF"/>
        <w:snapToGrid w:val="0"/>
        <w:spacing w:line="360" w:lineRule="auto"/>
        <w:rPr>
          <w:rFonts w:hint="eastAsia" w:ascii="仿宋_GB2312" w:hAnsi="Helvetica Neue" w:eastAsia="仿宋_GB2312" w:cs="宋体"/>
          <w:color w:val="000000" w:themeColor="text1"/>
          <w:kern w:val="0"/>
          <w:sz w:val="28"/>
          <w:szCs w:val="28"/>
        </w:rPr>
      </w:pPr>
      <w:r>
        <w:rPr>
          <w:rFonts w:hint="eastAsia" w:ascii="仿宋_GB2312" w:hAnsi="Helvetica Neue" w:eastAsia="仿宋_GB2312" w:cs="宋体"/>
          <w:color w:val="000000" w:themeColor="text1"/>
          <w:kern w:val="0"/>
          <w:sz w:val="28"/>
          <w:szCs w:val="28"/>
        </w:rPr>
        <w:t>　　</w:t>
      </w:r>
      <w:r>
        <w:rPr>
          <w:rFonts w:hint="eastAsia" w:ascii="仿宋_GB2312" w:hAnsi="方正仿宋_GB2312" w:eastAsia="仿宋_GB2312" w:cs="方正仿宋_GB2312"/>
          <w:color w:val="000000" w:themeColor="text1"/>
          <w:sz w:val="28"/>
          <w:szCs w:val="28"/>
        </w:rPr>
        <w:t>（9）</w:t>
      </w:r>
      <w:r>
        <w:rPr>
          <w:rFonts w:hint="eastAsia" w:ascii="仿宋_GB2312" w:hAnsi="Helvetica Neue" w:eastAsia="仿宋_GB2312" w:cs="宋体"/>
          <w:color w:val="000000" w:themeColor="text1"/>
          <w:kern w:val="0"/>
          <w:sz w:val="28"/>
          <w:szCs w:val="28"/>
        </w:rPr>
        <w:t>生产经营单位将生产经营项目、场所、设备发包或者出租给不具备安全生产条件或者相应资质的单位或者个人；</w:t>
      </w:r>
    </w:p>
    <w:p>
      <w:pPr>
        <w:widowControl/>
        <w:shd w:val="clear" w:color="auto" w:fill="FFFFFF"/>
        <w:snapToGrid w:val="0"/>
        <w:spacing w:line="360" w:lineRule="auto"/>
        <w:rPr>
          <w:rFonts w:hint="eastAsia" w:ascii="仿宋_GB2312" w:hAnsi="Helvetica Neue" w:eastAsia="仿宋_GB2312" w:cs="宋体"/>
          <w:color w:val="000000" w:themeColor="text1"/>
          <w:kern w:val="0"/>
          <w:sz w:val="28"/>
          <w:szCs w:val="28"/>
        </w:rPr>
      </w:pPr>
      <w:r>
        <w:rPr>
          <w:rFonts w:hint="eastAsia" w:ascii="仿宋_GB2312" w:hAnsi="Helvetica Neue" w:eastAsia="仿宋_GB2312" w:cs="宋体"/>
          <w:color w:val="000000" w:themeColor="text1"/>
          <w:kern w:val="0"/>
          <w:sz w:val="28"/>
          <w:szCs w:val="28"/>
        </w:rPr>
        <w:t>　　</w:t>
      </w:r>
      <w:r>
        <w:rPr>
          <w:rFonts w:hint="eastAsia" w:ascii="仿宋_GB2312" w:hAnsi="方正仿宋_GB2312" w:eastAsia="仿宋_GB2312" w:cs="方正仿宋_GB2312"/>
          <w:color w:val="000000" w:themeColor="text1"/>
          <w:sz w:val="28"/>
          <w:szCs w:val="28"/>
        </w:rPr>
        <w:t>（1</w:t>
      </w:r>
      <w:r>
        <w:rPr>
          <w:rFonts w:ascii="仿宋_GB2312" w:hAnsi="方正仿宋_GB2312" w:eastAsia="仿宋_GB2312" w:cs="方正仿宋_GB2312"/>
          <w:color w:val="000000" w:themeColor="text1"/>
          <w:sz w:val="28"/>
          <w:szCs w:val="28"/>
        </w:rPr>
        <w:t>0</w:t>
      </w:r>
      <w:r>
        <w:rPr>
          <w:rFonts w:hint="eastAsia" w:ascii="仿宋_GB2312" w:hAnsi="方正仿宋_GB2312" w:eastAsia="仿宋_GB2312" w:cs="方正仿宋_GB2312"/>
          <w:color w:val="000000" w:themeColor="text1"/>
          <w:sz w:val="28"/>
          <w:szCs w:val="28"/>
        </w:rPr>
        <w:t>）</w:t>
      </w:r>
      <w:r>
        <w:rPr>
          <w:rFonts w:hint="eastAsia" w:ascii="仿宋_GB2312" w:hAnsi="Helvetica Neue" w:eastAsia="仿宋_GB2312" w:cs="宋体"/>
          <w:color w:val="000000" w:themeColor="text1"/>
          <w:kern w:val="0"/>
          <w:sz w:val="28"/>
          <w:szCs w:val="28"/>
        </w:rPr>
        <w:t>使用无生产日期、无质量合格证和无生产厂名的不合规格的漏电保护装置；</w:t>
      </w:r>
    </w:p>
    <w:p>
      <w:pPr>
        <w:widowControl/>
        <w:shd w:val="clear" w:color="auto" w:fill="FFFFFF"/>
        <w:snapToGrid w:val="0"/>
        <w:spacing w:line="360" w:lineRule="auto"/>
        <w:rPr>
          <w:rFonts w:hint="eastAsia" w:ascii="仿宋_GB2312" w:hAnsi="Helvetica Neue" w:eastAsia="仿宋_GB2312" w:cs="宋体"/>
          <w:color w:val="000000" w:themeColor="text1"/>
          <w:kern w:val="0"/>
          <w:sz w:val="28"/>
          <w:szCs w:val="28"/>
        </w:rPr>
      </w:pPr>
      <w:r>
        <w:rPr>
          <w:rFonts w:hint="eastAsia" w:ascii="仿宋_GB2312" w:hAnsi="Helvetica Neue" w:eastAsia="仿宋_GB2312" w:cs="宋体"/>
          <w:color w:val="000000" w:themeColor="text1"/>
          <w:kern w:val="0"/>
          <w:sz w:val="28"/>
          <w:szCs w:val="28"/>
        </w:rPr>
        <w:t>　　</w:t>
      </w:r>
      <w:r>
        <w:rPr>
          <w:rFonts w:hint="eastAsia" w:ascii="仿宋_GB2312" w:hAnsi="方正仿宋_GB2312" w:eastAsia="仿宋_GB2312" w:cs="方正仿宋_GB2312"/>
          <w:color w:val="000000" w:themeColor="text1"/>
          <w:sz w:val="28"/>
          <w:szCs w:val="28"/>
        </w:rPr>
        <w:t>（1</w:t>
      </w:r>
      <w:r>
        <w:rPr>
          <w:rFonts w:ascii="仿宋_GB2312" w:hAnsi="方正仿宋_GB2312" w:eastAsia="仿宋_GB2312" w:cs="方正仿宋_GB2312"/>
          <w:color w:val="000000" w:themeColor="text1"/>
          <w:sz w:val="28"/>
          <w:szCs w:val="28"/>
        </w:rPr>
        <w:t>1</w:t>
      </w:r>
      <w:r>
        <w:rPr>
          <w:rFonts w:hint="eastAsia" w:ascii="仿宋_GB2312" w:hAnsi="方正仿宋_GB2312" w:eastAsia="仿宋_GB2312" w:cs="方正仿宋_GB2312"/>
          <w:color w:val="000000" w:themeColor="text1"/>
          <w:sz w:val="28"/>
          <w:szCs w:val="28"/>
        </w:rPr>
        <w:t>）</w:t>
      </w:r>
      <w:r>
        <w:rPr>
          <w:rFonts w:hint="eastAsia" w:ascii="仿宋_GB2312" w:hAnsi="Helvetica Neue" w:eastAsia="仿宋_GB2312" w:cs="宋体"/>
          <w:color w:val="000000" w:themeColor="text1"/>
          <w:kern w:val="0"/>
          <w:sz w:val="28"/>
          <w:szCs w:val="28"/>
        </w:rPr>
        <w:t>使用油浸电力变压器和其他油浸电气设备；</w:t>
      </w:r>
    </w:p>
    <w:p>
      <w:pPr>
        <w:widowControl/>
        <w:shd w:val="clear" w:color="auto" w:fill="FFFFFF"/>
        <w:snapToGrid w:val="0"/>
        <w:spacing w:line="360" w:lineRule="auto"/>
        <w:rPr>
          <w:rFonts w:hint="eastAsia" w:ascii="仿宋_GB2312" w:hAnsi="Helvetica Neue" w:eastAsia="仿宋_GB2312" w:cs="宋体"/>
          <w:color w:val="000000" w:themeColor="text1"/>
          <w:kern w:val="0"/>
          <w:sz w:val="28"/>
          <w:szCs w:val="28"/>
        </w:rPr>
      </w:pPr>
      <w:r>
        <w:rPr>
          <w:rFonts w:hint="eastAsia" w:ascii="仿宋_GB2312" w:hAnsi="Helvetica Neue" w:eastAsia="仿宋_GB2312" w:cs="宋体"/>
          <w:color w:val="000000" w:themeColor="text1"/>
          <w:kern w:val="0"/>
          <w:sz w:val="28"/>
          <w:szCs w:val="28"/>
        </w:rPr>
        <w:t>　　</w:t>
      </w:r>
      <w:r>
        <w:rPr>
          <w:rFonts w:hint="eastAsia" w:ascii="仿宋_GB2312" w:hAnsi="方正仿宋_GB2312" w:eastAsia="仿宋_GB2312" w:cs="方正仿宋_GB2312"/>
          <w:color w:val="000000" w:themeColor="text1"/>
          <w:sz w:val="28"/>
          <w:szCs w:val="28"/>
        </w:rPr>
        <w:t>（1</w:t>
      </w:r>
      <w:r>
        <w:rPr>
          <w:rFonts w:ascii="仿宋_GB2312" w:hAnsi="方正仿宋_GB2312" w:eastAsia="仿宋_GB2312" w:cs="方正仿宋_GB2312"/>
          <w:color w:val="000000" w:themeColor="text1"/>
          <w:sz w:val="28"/>
          <w:szCs w:val="28"/>
        </w:rPr>
        <w:t>2</w:t>
      </w:r>
      <w:r>
        <w:rPr>
          <w:rFonts w:hint="eastAsia" w:ascii="仿宋_GB2312" w:hAnsi="方正仿宋_GB2312" w:eastAsia="仿宋_GB2312" w:cs="方正仿宋_GB2312"/>
          <w:color w:val="000000" w:themeColor="text1"/>
          <w:sz w:val="28"/>
          <w:szCs w:val="28"/>
        </w:rPr>
        <w:t>）</w:t>
      </w:r>
      <w:r>
        <w:rPr>
          <w:rFonts w:hint="eastAsia" w:ascii="仿宋_GB2312" w:hAnsi="Helvetica Neue" w:eastAsia="仿宋_GB2312" w:cs="宋体"/>
          <w:color w:val="000000" w:themeColor="text1"/>
          <w:kern w:val="0"/>
          <w:sz w:val="28"/>
          <w:szCs w:val="28"/>
        </w:rPr>
        <w:t>在配电箱柜等电气设备周边存放易燃可燃物品；</w:t>
      </w:r>
    </w:p>
    <w:p>
      <w:pPr>
        <w:widowControl/>
        <w:shd w:val="clear" w:color="auto" w:fill="FFFFFF"/>
        <w:snapToGrid w:val="0"/>
        <w:spacing w:line="360" w:lineRule="auto"/>
        <w:rPr>
          <w:rFonts w:hint="eastAsia" w:ascii="仿宋_GB2312" w:hAnsi="Helvetica Neue" w:eastAsia="仿宋_GB2312" w:cs="宋体"/>
          <w:color w:val="000000" w:themeColor="text1"/>
          <w:kern w:val="0"/>
          <w:sz w:val="28"/>
          <w:szCs w:val="28"/>
        </w:rPr>
      </w:pPr>
      <w:r>
        <w:rPr>
          <w:rFonts w:hint="eastAsia" w:ascii="仿宋_GB2312" w:hAnsi="Helvetica Neue" w:eastAsia="仿宋_GB2312" w:cs="宋体"/>
          <w:color w:val="000000" w:themeColor="text1"/>
          <w:kern w:val="0"/>
          <w:sz w:val="28"/>
          <w:szCs w:val="28"/>
        </w:rPr>
        <w:t>　　</w:t>
      </w:r>
      <w:r>
        <w:rPr>
          <w:rFonts w:hint="eastAsia" w:ascii="仿宋_GB2312" w:hAnsi="方正仿宋_GB2312" w:eastAsia="仿宋_GB2312" w:cs="方正仿宋_GB2312"/>
          <w:color w:val="000000" w:themeColor="text1"/>
          <w:sz w:val="28"/>
          <w:szCs w:val="28"/>
        </w:rPr>
        <w:t>（1</w:t>
      </w:r>
      <w:r>
        <w:rPr>
          <w:rFonts w:ascii="仿宋_GB2312" w:hAnsi="方正仿宋_GB2312" w:eastAsia="仿宋_GB2312" w:cs="方正仿宋_GB2312"/>
          <w:color w:val="000000" w:themeColor="text1"/>
          <w:sz w:val="28"/>
          <w:szCs w:val="28"/>
        </w:rPr>
        <w:t>3</w:t>
      </w:r>
      <w:r>
        <w:rPr>
          <w:rFonts w:hint="eastAsia" w:ascii="仿宋_GB2312" w:hAnsi="方正仿宋_GB2312" w:eastAsia="仿宋_GB2312" w:cs="方正仿宋_GB2312"/>
          <w:color w:val="000000" w:themeColor="text1"/>
          <w:sz w:val="28"/>
          <w:szCs w:val="28"/>
        </w:rPr>
        <w:t>）</w:t>
      </w:r>
      <w:r>
        <w:rPr>
          <w:rFonts w:hint="eastAsia" w:ascii="仿宋_GB2312" w:hAnsi="Helvetica Neue" w:eastAsia="仿宋_GB2312" w:cs="宋体"/>
          <w:color w:val="000000" w:themeColor="text1"/>
          <w:kern w:val="0"/>
          <w:sz w:val="28"/>
          <w:szCs w:val="28"/>
        </w:rPr>
        <w:t>使用电炉子、电褥子、热得快等火源性器具，大于660瓦的电磁炉等大功率用电器具和无强排式燃气热水器，使用煤油、汽油、液化石油气等与空气密度比值大于或等于0.75的可燃气体作燃料以及其他产生有害气体的设备设施，存放液化石油气钢瓶，使用液化石油气和闪点小于60℃的液体做燃料以及其他产生有害气体的设备设施；</w:t>
      </w:r>
    </w:p>
    <w:p>
      <w:pPr>
        <w:widowControl/>
        <w:shd w:val="clear" w:color="auto" w:fill="FFFFFF"/>
        <w:snapToGrid w:val="0"/>
        <w:spacing w:line="360" w:lineRule="auto"/>
        <w:rPr>
          <w:rFonts w:hint="eastAsia" w:ascii="仿宋_GB2312" w:hAnsi="Helvetica Neue" w:eastAsia="仿宋_GB2312" w:cs="宋体"/>
          <w:color w:val="000000" w:themeColor="text1"/>
          <w:kern w:val="0"/>
          <w:sz w:val="28"/>
          <w:szCs w:val="28"/>
        </w:rPr>
      </w:pPr>
      <w:r>
        <w:rPr>
          <w:rFonts w:hint="eastAsia" w:ascii="仿宋_GB2312" w:hAnsi="Helvetica Neue" w:eastAsia="仿宋_GB2312" w:cs="宋体"/>
          <w:color w:val="000000" w:themeColor="text1"/>
          <w:kern w:val="0"/>
          <w:sz w:val="28"/>
          <w:szCs w:val="28"/>
        </w:rPr>
        <w:t>　　</w:t>
      </w:r>
      <w:r>
        <w:rPr>
          <w:rFonts w:hint="eastAsia" w:ascii="仿宋_GB2312" w:hAnsi="方正仿宋_GB2312" w:eastAsia="仿宋_GB2312" w:cs="方正仿宋_GB2312"/>
          <w:color w:val="000000" w:themeColor="text1"/>
          <w:sz w:val="28"/>
          <w:szCs w:val="28"/>
        </w:rPr>
        <w:t>（1</w:t>
      </w:r>
      <w:r>
        <w:rPr>
          <w:rFonts w:ascii="仿宋_GB2312" w:hAnsi="方正仿宋_GB2312" w:eastAsia="仿宋_GB2312" w:cs="方正仿宋_GB2312"/>
          <w:color w:val="000000" w:themeColor="text1"/>
          <w:sz w:val="28"/>
          <w:szCs w:val="28"/>
        </w:rPr>
        <w:t>4</w:t>
      </w:r>
      <w:r>
        <w:rPr>
          <w:rFonts w:hint="eastAsia" w:ascii="仿宋_GB2312" w:hAnsi="方正仿宋_GB2312" w:eastAsia="仿宋_GB2312" w:cs="方正仿宋_GB2312"/>
          <w:color w:val="000000" w:themeColor="text1"/>
          <w:sz w:val="28"/>
          <w:szCs w:val="28"/>
        </w:rPr>
        <w:t>）</w:t>
      </w:r>
      <w:r>
        <w:rPr>
          <w:rFonts w:hint="eastAsia" w:ascii="仿宋_GB2312" w:hAnsi="Helvetica Neue" w:eastAsia="仿宋_GB2312" w:cs="宋体"/>
          <w:color w:val="000000" w:themeColor="text1"/>
          <w:kern w:val="0"/>
          <w:sz w:val="28"/>
          <w:szCs w:val="28"/>
        </w:rPr>
        <w:t>拉设临时线路；</w:t>
      </w:r>
    </w:p>
    <w:p>
      <w:pPr>
        <w:widowControl/>
        <w:shd w:val="clear" w:color="auto" w:fill="FFFFFF"/>
        <w:snapToGrid w:val="0"/>
        <w:spacing w:line="360" w:lineRule="auto"/>
        <w:rPr>
          <w:rFonts w:hint="eastAsia" w:ascii="仿宋_GB2312" w:hAnsi="Helvetica Neue" w:eastAsia="仿宋_GB2312" w:cs="宋体"/>
          <w:color w:val="000000" w:themeColor="text1"/>
          <w:kern w:val="0"/>
          <w:sz w:val="28"/>
          <w:szCs w:val="28"/>
        </w:rPr>
      </w:pPr>
      <w:r>
        <w:rPr>
          <w:rFonts w:hint="eastAsia" w:ascii="仿宋_GB2312" w:hAnsi="Helvetica Neue" w:eastAsia="仿宋_GB2312" w:cs="宋体"/>
          <w:color w:val="000000" w:themeColor="text1"/>
          <w:kern w:val="0"/>
          <w:sz w:val="28"/>
          <w:szCs w:val="28"/>
        </w:rPr>
        <w:t>　　</w:t>
      </w:r>
      <w:r>
        <w:rPr>
          <w:rFonts w:hint="eastAsia" w:ascii="仿宋_GB2312" w:hAnsi="方正仿宋_GB2312" w:eastAsia="仿宋_GB2312" w:cs="方正仿宋_GB2312"/>
          <w:color w:val="000000" w:themeColor="text1"/>
          <w:sz w:val="28"/>
          <w:szCs w:val="28"/>
        </w:rPr>
        <w:t>（1</w:t>
      </w:r>
      <w:r>
        <w:rPr>
          <w:rFonts w:ascii="仿宋_GB2312" w:hAnsi="方正仿宋_GB2312" w:eastAsia="仿宋_GB2312" w:cs="方正仿宋_GB2312"/>
          <w:color w:val="000000" w:themeColor="text1"/>
          <w:sz w:val="28"/>
          <w:szCs w:val="28"/>
        </w:rPr>
        <w:t>5</w:t>
      </w:r>
      <w:r>
        <w:rPr>
          <w:rFonts w:hint="eastAsia" w:ascii="仿宋_GB2312" w:hAnsi="方正仿宋_GB2312" w:eastAsia="仿宋_GB2312" w:cs="方正仿宋_GB2312"/>
          <w:color w:val="000000" w:themeColor="text1"/>
          <w:sz w:val="28"/>
          <w:szCs w:val="28"/>
        </w:rPr>
        <w:t>）</w:t>
      </w:r>
      <w:r>
        <w:rPr>
          <w:rFonts w:hint="eastAsia" w:ascii="仿宋_GB2312" w:hAnsi="Helvetica Neue" w:eastAsia="仿宋_GB2312" w:cs="宋体"/>
          <w:color w:val="000000" w:themeColor="text1"/>
          <w:kern w:val="0"/>
          <w:sz w:val="28"/>
          <w:szCs w:val="28"/>
        </w:rPr>
        <w:t>利用楼梯间和电梯间为地下车库进行自然通风；</w:t>
      </w:r>
    </w:p>
    <w:p>
      <w:pPr>
        <w:widowControl/>
        <w:shd w:val="clear" w:color="auto" w:fill="FFFFFF"/>
        <w:snapToGrid w:val="0"/>
        <w:spacing w:line="360" w:lineRule="auto"/>
        <w:rPr>
          <w:rFonts w:hint="eastAsia" w:ascii="仿宋_GB2312" w:hAnsi="Helvetica Neue" w:eastAsia="仿宋_GB2312" w:cs="宋体"/>
          <w:color w:val="000000" w:themeColor="text1"/>
          <w:kern w:val="0"/>
          <w:sz w:val="28"/>
          <w:szCs w:val="28"/>
        </w:rPr>
      </w:pPr>
      <w:r>
        <w:rPr>
          <w:rFonts w:hint="eastAsia" w:ascii="仿宋_GB2312" w:hAnsi="Helvetica Neue" w:eastAsia="仿宋_GB2312" w:cs="宋体"/>
          <w:color w:val="000000" w:themeColor="text1"/>
          <w:kern w:val="0"/>
          <w:sz w:val="28"/>
          <w:szCs w:val="28"/>
        </w:rPr>
        <w:t>　　</w:t>
      </w:r>
      <w:r>
        <w:rPr>
          <w:rFonts w:hint="eastAsia" w:ascii="仿宋_GB2312" w:hAnsi="方正仿宋_GB2312" w:eastAsia="仿宋_GB2312" w:cs="方正仿宋_GB2312"/>
          <w:color w:val="000000" w:themeColor="text1"/>
          <w:sz w:val="28"/>
          <w:szCs w:val="28"/>
        </w:rPr>
        <w:t>（1</w:t>
      </w:r>
      <w:r>
        <w:rPr>
          <w:rFonts w:ascii="仿宋_GB2312" w:hAnsi="方正仿宋_GB2312" w:eastAsia="仿宋_GB2312" w:cs="方正仿宋_GB2312"/>
          <w:color w:val="000000" w:themeColor="text1"/>
          <w:sz w:val="28"/>
          <w:szCs w:val="28"/>
        </w:rPr>
        <w:t>6</w:t>
      </w:r>
      <w:r>
        <w:rPr>
          <w:rFonts w:hint="eastAsia" w:ascii="仿宋_GB2312" w:hAnsi="方正仿宋_GB2312" w:eastAsia="仿宋_GB2312" w:cs="方正仿宋_GB2312"/>
          <w:color w:val="000000" w:themeColor="text1"/>
          <w:sz w:val="28"/>
          <w:szCs w:val="28"/>
        </w:rPr>
        <w:t>）</w:t>
      </w:r>
      <w:r>
        <w:rPr>
          <w:rFonts w:hint="eastAsia" w:ascii="仿宋_GB2312" w:hAnsi="Helvetica Neue" w:eastAsia="仿宋_GB2312" w:cs="宋体"/>
          <w:color w:val="000000" w:themeColor="text1"/>
          <w:kern w:val="0"/>
          <w:sz w:val="28"/>
          <w:szCs w:val="28"/>
        </w:rPr>
        <w:t>在车库及通道内堆放杂物，搭建建筑，占用防火间距；</w:t>
      </w:r>
    </w:p>
    <w:p>
      <w:pPr>
        <w:widowControl/>
        <w:shd w:val="clear" w:color="auto" w:fill="FFFFFF"/>
        <w:snapToGrid w:val="0"/>
        <w:spacing w:line="360" w:lineRule="auto"/>
        <w:rPr>
          <w:rFonts w:hint="eastAsia" w:ascii="仿宋_GB2312" w:hAnsi="Helvetica Neue" w:eastAsia="仿宋_GB2312" w:cs="宋体"/>
          <w:color w:val="000000" w:themeColor="text1"/>
          <w:kern w:val="0"/>
          <w:sz w:val="28"/>
          <w:szCs w:val="28"/>
        </w:rPr>
      </w:pPr>
      <w:r>
        <w:rPr>
          <w:rFonts w:hint="eastAsia" w:ascii="仿宋_GB2312" w:hAnsi="Helvetica Neue" w:eastAsia="仿宋_GB2312" w:cs="宋体"/>
          <w:color w:val="000000" w:themeColor="text1"/>
          <w:kern w:val="0"/>
          <w:sz w:val="28"/>
          <w:szCs w:val="28"/>
        </w:rPr>
        <w:t>　　</w:t>
      </w:r>
      <w:r>
        <w:rPr>
          <w:rFonts w:hint="eastAsia" w:ascii="仿宋_GB2312" w:hAnsi="方正仿宋_GB2312" w:eastAsia="仿宋_GB2312" w:cs="方正仿宋_GB2312"/>
          <w:color w:val="000000" w:themeColor="text1"/>
          <w:sz w:val="28"/>
          <w:szCs w:val="28"/>
        </w:rPr>
        <w:t>（1</w:t>
      </w:r>
      <w:r>
        <w:rPr>
          <w:rFonts w:ascii="仿宋_GB2312" w:hAnsi="方正仿宋_GB2312" w:eastAsia="仿宋_GB2312" w:cs="方正仿宋_GB2312"/>
          <w:color w:val="000000" w:themeColor="text1"/>
          <w:sz w:val="28"/>
          <w:szCs w:val="28"/>
        </w:rPr>
        <w:t>7</w:t>
      </w:r>
      <w:r>
        <w:rPr>
          <w:rFonts w:hint="eastAsia" w:ascii="仿宋_GB2312" w:hAnsi="方正仿宋_GB2312" w:eastAsia="仿宋_GB2312" w:cs="方正仿宋_GB2312"/>
          <w:color w:val="000000" w:themeColor="text1"/>
          <w:sz w:val="28"/>
          <w:szCs w:val="28"/>
        </w:rPr>
        <w:t>）</w:t>
      </w:r>
      <w:r>
        <w:rPr>
          <w:rFonts w:hint="eastAsia" w:ascii="仿宋_GB2312" w:hAnsi="Helvetica Neue" w:eastAsia="仿宋_GB2312" w:cs="宋体"/>
          <w:color w:val="000000" w:themeColor="text1"/>
          <w:kern w:val="0"/>
          <w:sz w:val="28"/>
          <w:szCs w:val="28"/>
        </w:rPr>
        <w:t>改变地下车库的实际使用功能；</w:t>
      </w:r>
    </w:p>
    <w:p>
      <w:pPr>
        <w:widowControl/>
        <w:shd w:val="clear" w:color="auto" w:fill="FFFFFF"/>
        <w:snapToGrid w:val="0"/>
        <w:spacing w:line="360" w:lineRule="auto"/>
        <w:rPr>
          <w:rFonts w:hint="eastAsia" w:ascii="仿宋_GB2312" w:hAnsi="Helvetica Neue" w:eastAsia="仿宋_GB2312" w:cs="宋体"/>
          <w:color w:val="000000" w:themeColor="text1"/>
          <w:kern w:val="0"/>
          <w:sz w:val="28"/>
          <w:szCs w:val="28"/>
        </w:rPr>
      </w:pPr>
      <w:r>
        <w:rPr>
          <w:rFonts w:hint="eastAsia" w:ascii="仿宋_GB2312" w:hAnsi="Helvetica Neue" w:eastAsia="仿宋_GB2312" w:cs="宋体"/>
          <w:color w:val="000000" w:themeColor="text1"/>
          <w:kern w:val="0"/>
          <w:sz w:val="28"/>
          <w:szCs w:val="28"/>
        </w:rPr>
        <w:t>　　</w:t>
      </w:r>
      <w:r>
        <w:rPr>
          <w:rFonts w:hint="eastAsia" w:ascii="仿宋_GB2312" w:hAnsi="方正仿宋_GB2312" w:eastAsia="仿宋_GB2312" w:cs="方正仿宋_GB2312"/>
          <w:color w:val="000000" w:themeColor="text1"/>
          <w:sz w:val="28"/>
          <w:szCs w:val="28"/>
        </w:rPr>
        <w:t>（1</w:t>
      </w:r>
      <w:r>
        <w:rPr>
          <w:rFonts w:ascii="仿宋_GB2312" w:hAnsi="方正仿宋_GB2312" w:eastAsia="仿宋_GB2312" w:cs="方正仿宋_GB2312"/>
          <w:color w:val="000000" w:themeColor="text1"/>
          <w:sz w:val="28"/>
          <w:szCs w:val="28"/>
        </w:rPr>
        <w:t>8</w:t>
      </w:r>
      <w:r>
        <w:rPr>
          <w:rFonts w:hint="eastAsia" w:ascii="仿宋_GB2312" w:hAnsi="方正仿宋_GB2312" w:eastAsia="仿宋_GB2312" w:cs="方正仿宋_GB2312"/>
          <w:color w:val="000000" w:themeColor="text1"/>
          <w:sz w:val="28"/>
          <w:szCs w:val="28"/>
        </w:rPr>
        <w:t>）</w:t>
      </w:r>
      <w:r>
        <w:rPr>
          <w:rFonts w:hint="eastAsia" w:ascii="仿宋_GB2312" w:hAnsi="Helvetica Neue" w:eastAsia="仿宋_GB2312" w:cs="宋体"/>
          <w:color w:val="000000" w:themeColor="text1"/>
          <w:kern w:val="0"/>
          <w:sz w:val="28"/>
          <w:szCs w:val="28"/>
        </w:rPr>
        <w:t>设置上下床。</w:t>
      </w:r>
    </w:p>
    <w:p>
      <w:pPr>
        <w:widowControl/>
        <w:shd w:val="clear" w:color="auto" w:fill="FFFFFF"/>
        <w:snapToGrid w:val="0"/>
        <w:spacing w:line="360" w:lineRule="auto"/>
        <w:rPr>
          <w:rFonts w:hint="eastAsia" w:ascii="仿宋_GB2312" w:hAnsi="Helvetica Neue" w:eastAsia="仿宋_GB2312" w:cs="宋体"/>
          <w:color w:val="000000" w:themeColor="text1"/>
          <w:kern w:val="0"/>
          <w:sz w:val="28"/>
          <w:szCs w:val="28"/>
        </w:rPr>
      </w:pPr>
      <w:r>
        <w:rPr>
          <w:rFonts w:hint="eastAsia" w:ascii="仿宋_GB2312" w:hAnsi="Helvetica Neue" w:eastAsia="仿宋_GB2312" w:cs="宋体"/>
          <w:color w:val="000000" w:themeColor="text1"/>
          <w:kern w:val="0"/>
          <w:sz w:val="28"/>
          <w:szCs w:val="28"/>
        </w:rPr>
        <w:t>　　1</w:t>
      </w:r>
      <w:r>
        <w:rPr>
          <w:rFonts w:ascii="仿宋_GB2312" w:hAnsi="Helvetica Neue" w:eastAsia="仿宋_GB2312" w:cs="宋体"/>
          <w:color w:val="000000" w:themeColor="text1"/>
          <w:kern w:val="0"/>
          <w:sz w:val="28"/>
          <w:szCs w:val="28"/>
        </w:rPr>
        <w:t>1.</w:t>
      </w:r>
      <w:r>
        <w:rPr>
          <w:rFonts w:hint="eastAsia" w:ascii="仿宋_GB2312" w:hAnsi="Helvetica Neue" w:eastAsia="仿宋_GB2312" w:cs="宋体"/>
          <w:color w:val="000000" w:themeColor="text1"/>
          <w:kern w:val="0"/>
          <w:sz w:val="28"/>
          <w:szCs w:val="28"/>
        </w:rPr>
        <w:t>使用用途负面清单</w:t>
      </w:r>
    </w:p>
    <w:p>
      <w:pPr>
        <w:widowControl/>
        <w:shd w:val="clear" w:color="auto" w:fill="FFFFFF"/>
        <w:snapToGrid w:val="0"/>
        <w:spacing w:line="360" w:lineRule="auto"/>
        <w:rPr>
          <w:rFonts w:hint="eastAsia" w:ascii="仿宋_GB2312" w:hAnsi="Helvetica Neue" w:eastAsia="仿宋_GB2312" w:cs="宋体"/>
          <w:color w:val="000000" w:themeColor="text1"/>
          <w:kern w:val="0"/>
          <w:sz w:val="28"/>
          <w:szCs w:val="28"/>
        </w:rPr>
      </w:pPr>
      <w:r>
        <w:rPr>
          <w:rFonts w:hint="eastAsia" w:ascii="仿宋_GB2312" w:hAnsi="Helvetica Neue" w:eastAsia="仿宋_GB2312" w:cs="宋体"/>
          <w:color w:val="000000" w:themeColor="text1"/>
          <w:kern w:val="0"/>
          <w:sz w:val="28"/>
          <w:szCs w:val="28"/>
        </w:rPr>
        <w:t>　　地下空间除符合规划用途以外：</w:t>
      </w:r>
    </w:p>
    <w:p>
      <w:pPr>
        <w:widowControl/>
        <w:shd w:val="clear" w:color="auto" w:fill="FFFFFF"/>
        <w:snapToGrid w:val="0"/>
        <w:spacing w:line="360" w:lineRule="auto"/>
        <w:rPr>
          <w:rFonts w:hint="eastAsia" w:ascii="仿宋_GB2312" w:hAnsi="Helvetica Neue" w:eastAsia="仿宋_GB2312" w:cs="宋体"/>
          <w:color w:val="000000" w:themeColor="text1"/>
          <w:kern w:val="0"/>
          <w:sz w:val="28"/>
          <w:szCs w:val="28"/>
        </w:rPr>
      </w:pPr>
      <w:r>
        <w:rPr>
          <w:rFonts w:hint="eastAsia" w:ascii="仿宋_GB2312" w:hAnsi="Helvetica Neue" w:eastAsia="仿宋_GB2312" w:cs="宋体"/>
          <w:color w:val="000000" w:themeColor="text1"/>
          <w:kern w:val="0"/>
          <w:sz w:val="28"/>
          <w:szCs w:val="28"/>
        </w:rPr>
        <w:t>　　</w:t>
      </w:r>
      <w:r>
        <w:rPr>
          <w:rFonts w:hint="eastAsia" w:ascii="仿宋_GB2312" w:hAnsi="方正仿宋_GB2312" w:eastAsia="仿宋_GB2312" w:cs="方正仿宋_GB2312"/>
          <w:color w:val="000000" w:themeColor="text1"/>
          <w:sz w:val="28"/>
          <w:szCs w:val="28"/>
        </w:rPr>
        <w:t>（1）</w:t>
      </w:r>
      <w:r>
        <w:rPr>
          <w:rFonts w:hint="eastAsia" w:ascii="仿宋_GB2312" w:hAnsi="Helvetica Neue" w:eastAsia="仿宋_GB2312" w:cs="宋体"/>
          <w:color w:val="000000" w:themeColor="text1"/>
          <w:kern w:val="0"/>
          <w:sz w:val="28"/>
          <w:szCs w:val="28"/>
        </w:rPr>
        <w:t>不得利用负三层及其以下设置商场。</w:t>
      </w:r>
    </w:p>
    <w:p>
      <w:pPr>
        <w:widowControl/>
        <w:shd w:val="clear" w:color="auto" w:fill="FFFFFF"/>
        <w:snapToGrid w:val="0"/>
        <w:spacing w:line="360" w:lineRule="auto"/>
        <w:rPr>
          <w:rFonts w:hint="eastAsia" w:ascii="仿宋_GB2312" w:hAnsi="Helvetica Neue" w:eastAsia="仿宋_GB2312" w:cs="宋体"/>
          <w:color w:val="000000" w:themeColor="text1"/>
          <w:kern w:val="0"/>
          <w:sz w:val="28"/>
          <w:szCs w:val="28"/>
        </w:rPr>
      </w:pPr>
      <w:r>
        <w:rPr>
          <w:rFonts w:hint="eastAsia" w:ascii="仿宋_GB2312" w:hAnsi="Helvetica Neue" w:eastAsia="仿宋_GB2312" w:cs="宋体"/>
          <w:color w:val="000000" w:themeColor="text1"/>
          <w:kern w:val="0"/>
          <w:sz w:val="28"/>
          <w:szCs w:val="28"/>
        </w:rPr>
        <w:t>　　</w:t>
      </w:r>
      <w:r>
        <w:rPr>
          <w:rFonts w:hint="eastAsia" w:ascii="仿宋_GB2312" w:hAnsi="方正仿宋_GB2312" w:eastAsia="仿宋_GB2312" w:cs="方正仿宋_GB2312"/>
          <w:color w:val="000000" w:themeColor="text1"/>
          <w:sz w:val="28"/>
          <w:szCs w:val="28"/>
        </w:rPr>
        <w:t>（2）</w:t>
      </w:r>
      <w:r>
        <w:rPr>
          <w:rFonts w:hint="eastAsia" w:ascii="仿宋_GB2312" w:hAnsi="Helvetica Neue" w:eastAsia="仿宋_GB2312" w:cs="宋体"/>
          <w:color w:val="000000" w:themeColor="text1"/>
          <w:kern w:val="0"/>
          <w:sz w:val="28"/>
          <w:szCs w:val="28"/>
        </w:rPr>
        <w:t>不得利用负二层及其以下设置文化体育运动场所（社区活动空间除外）。</w:t>
      </w:r>
    </w:p>
    <w:p>
      <w:pPr>
        <w:widowControl/>
        <w:shd w:val="clear" w:color="auto" w:fill="FFFFFF"/>
        <w:snapToGrid w:val="0"/>
        <w:spacing w:line="360" w:lineRule="auto"/>
        <w:rPr>
          <w:rFonts w:hint="eastAsia" w:ascii="仿宋_GB2312" w:hAnsi="Helvetica Neue" w:eastAsia="仿宋_GB2312" w:cs="宋体"/>
          <w:color w:val="000000" w:themeColor="text1"/>
          <w:kern w:val="0"/>
          <w:sz w:val="28"/>
          <w:szCs w:val="28"/>
        </w:rPr>
      </w:pPr>
      <w:r>
        <w:rPr>
          <w:rFonts w:hint="eastAsia" w:ascii="仿宋_GB2312" w:hAnsi="Helvetica Neue" w:eastAsia="仿宋_GB2312" w:cs="宋体"/>
          <w:color w:val="000000" w:themeColor="text1"/>
          <w:kern w:val="0"/>
          <w:sz w:val="28"/>
          <w:szCs w:val="28"/>
        </w:rPr>
        <w:t>　　</w:t>
      </w:r>
      <w:r>
        <w:rPr>
          <w:rFonts w:hint="eastAsia" w:ascii="仿宋_GB2312" w:hAnsi="方正仿宋_GB2312" w:eastAsia="仿宋_GB2312" w:cs="方正仿宋_GB2312"/>
          <w:color w:val="000000" w:themeColor="text1"/>
          <w:sz w:val="28"/>
          <w:szCs w:val="28"/>
        </w:rPr>
        <w:t>（3）</w:t>
      </w:r>
      <w:r>
        <w:rPr>
          <w:rFonts w:hint="eastAsia" w:ascii="仿宋_GB2312" w:hAnsi="Helvetica Neue" w:eastAsia="仿宋_GB2312" w:cs="宋体"/>
          <w:color w:val="000000" w:themeColor="text1"/>
          <w:kern w:val="0"/>
          <w:sz w:val="28"/>
          <w:szCs w:val="28"/>
        </w:rPr>
        <w:t>不得利用负二层及其以下设置娱乐场所（社区活动空间除外）。</w:t>
      </w:r>
    </w:p>
    <w:p>
      <w:pPr>
        <w:widowControl/>
        <w:shd w:val="clear" w:color="auto" w:fill="FFFFFF"/>
        <w:snapToGrid w:val="0"/>
        <w:spacing w:line="360" w:lineRule="auto"/>
        <w:rPr>
          <w:rFonts w:hint="eastAsia" w:ascii="仿宋_GB2312" w:hAnsi="Helvetica Neue" w:eastAsia="仿宋_GB2312" w:cs="宋体"/>
          <w:color w:val="000000" w:themeColor="text1"/>
          <w:kern w:val="0"/>
          <w:sz w:val="28"/>
          <w:szCs w:val="28"/>
        </w:rPr>
      </w:pPr>
      <w:r>
        <w:rPr>
          <w:rFonts w:hint="eastAsia" w:ascii="仿宋_GB2312" w:hAnsi="Helvetica Neue" w:eastAsia="仿宋_GB2312" w:cs="宋体"/>
          <w:color w:val="000000" w:themeColor="text1"/>
          <w:kern w:val="0"/>
          <w:sz w:val="28"/>
          <w:szCs w:val="28"/>
        </w:rPr>
        <w:t>　　</w:t>
      </w:r>
      <w:r>
        <w:rPr>
          <w:rFonts w:hint="eastAsia" w:ascii="仿宋_GB2312" w:hAnsi="方正仿宋_GB2312" w:eastAsia="仿宋_GB2312" w:cs="方正仿宋_GB2312"/>
          <w:color w:val="000000" w:themeColor="text1"/>
          <w:sz w:val="28"/>
          <w:szCs w:val="28"/>
        </w:rPr>
        <w:t>（4）</w:t>
      </w:r>
      <w:r>
        <w:rPr>
          <w:rFonts w:hint="eastAsia" w:ascii="仿宋_GB2312" w:hAnsi="Helvetica Neue" w:eastAsia="仿宋_GB2312" w:cs="宋体"/>
          <w:color w:val="000000" w:themeColor="text1"/>
          <w:kern w:val="0"/>
          <w:sz w:val="28"/>
          <w:szCs w:val="28"/>
        </w:rPr>
        <w:t>城六区及城市副中心不得新增使用地下空间从事商业性经营（规划用途为“餐饮服务”、及规划用途为“商业”且符合餐饮用房相关要求的除外；单位食堂除外）。</w:t>
      </w:r>
    </w:p>
    <w:p>
      <w:pPr>
        <w:widowControl/>
        <w:shd w:val="clear" w:color="auto" w:fill="FFFFFF"/>
        <w:snapToGrid w:val="0"/>
        <w:spacing w:line="360" w:lineRule="auto"/>
        <w:rPr>
          <w:rFonts w:hint="eastAsia" w:ascii="仿宋_GB2312" w:hAnsi="Helvetica Neue" w:eastAsia="仿宋_GB2312" w:cs="宋体"/>
          <w:color w:val="000000" w:themeColor="text1"/>
          <w:kern w:val="0"/>
          <w:sz w:val="28"/>
          <w:szCs w:val="28"/>
        </w:rPr>
      </w:pPr>
      <w:r>
        <w:rPr>
          <w:rFonts w:hint="eastAsia" w:ascii="仿宋_GB2312" w:hAnsi="Helvetica Neue" w:eastAsia="仿宋_GB2312" w:cs="宋体"/>
          <w:color w:val="000000" w:themeColor="text1"/>
          <w:kern w:val="0"/>
          <w:sz w:val="28"/>
          <w:szCs w:val="28"/>
        </w:rPr>
        <w:t>　　</w:t>
      </w:r>
      <w:r>
        <w:rPr>
          <w:rFonts w:hint="eastAsia" w:ascii="仿宋_GB2312" w:hAnsi="方正仿宋_GB2312" w:eastAsia="仿宋_GB2312" w:cs="方正仿宋_GB2312"/>
          <w:color w:val="000000" w:themeColor="text1"/>
          <w:sz w:val="28"/>
          <w:szCs w:val="28"/>
        </w:rPr>
        <w:t>（5）</w:t>
      </w:r>
      <w:r>
        <w:rPr>
          <w:rFonts w:hint="eastAsia" w:ascii="仿宋_GB2312" w:hAnsi="Helvetica Neue" w:eastAsia="仿宋_GB2312" w:cs="宋体"/>
          <w:color w:val="000000" w:themeColor="text1"/>
          <w:kern w:val="0"/>
          <w:sz w:val="28"/>
          <w:szCs w:val="28"/>
        </w:rPr>
        <w:t>不得利用负三层及其以下设置办公场所。</w:t>
      </w:r>
    </w:p>
    <w:p>
      <w:pPr>
        <w:widowControl/>
        <w:shd w:val="clear" w:color="auto" w:fill="FFFFFF"/>
        <w:snapToGrid w:val="0"/>
        <w:spacing w:line="360" w:lineRule="auto"/>
        <w:rPr>
          <w:rFonts w:hint="eastAsia" w:ascii="仿宋_GB2312" w:hAnsi="Helvetica Neue" w:eastAsia="仿宋_GB2312" w:cs="宋体"/>
          <w:color w:val="000000" w:themeColor="text1"/>
          <w:kern w:val="0"/>
          <w:sz w:val="28"/>
          <w:szCs w:val="28"/>
        </w:rPr>
      </w:pPr>
      <w:r>
        <w:rPr>
          <w:rFonts w:hint="eastAsia" w:ascii="仿宋_GB2312" w:hAnsi="Helvetica Neue" w:eastAsia="仿宋_GB2312" w:cs="宋体"/>
          <w:color w:val="000000" w:themeColor="text1"/>
          <w:kern w:val="0"/>
          <w:sz w:val="28"/>
          <w:szCs w:val="28"/>
        </w:rPr>
        <w:t>　　</w:t>
      </w:r>
      <w:r>
        <w:rPr>
          <w:rFonts w:hint="eastAsia" w:ascii="仿宋_GB2312" w:hAnsi="方正仿宋_GB2312" w:eastAsia="仿宋_GB2312" w:cs="方正仿宋_GB2312"/>
          <w:color w:val="000000" w:themeColor="text1"/>
          <w:sz w:val="28"/>
          <w:szCs w:val="28"/>
        </w:rPr>
        <w:t>（6）</w:t>
      </w:r>
      <w:r>
        <w:rPr>
          <w:rFonts w:hint="eastAsia" w:ascii="仿宋_GB2312" w:hAnsi="Helvetica Neue" w:eastAsia="仿宋_GB2312" w:cs="宋体"/>
          <w:color w:val="000000" w:themeColor="text1"/>
          <w:kern w:val="0"/>
          <w:sz w:val="28"/>
          <w:szCs w:val="28"/>
        </w:rPr>
        <w:t>不得利用地下空间开办批发业类的商品交易市场（符合规划的农产品市场除外）。</w:t>
      </w:r>
    </w:p>
    <w:p>
      <w:pPr>
        <w:widowControl/>
        <w:shd w:val="clear" w:color="auto" w:fill="FFFFFF"/>
        <w:snapToGrid w:val="0"/>
        <w:spacing w:line="360" w:lineRule="auto"/>
        <w:rPr>
          <w:rFonts w:hint="eastAsia" w:ascii="仿宋_GB2312" w:hAnsi="Helvetica Neue" w:eastAsia="仿宋_GB2312" w:cs="宋体"/>
          <w:color w:val="000000" w:themeColor="text1"/>
          <w:kern w:val="0"/>
          <w:sz w:val="28"/>
          <w:szCs w:val="28"/>
        </w:rPr>
      </w:pPr>
      <w:r>
        <w:rPr>
          <w:rFonts w:hint="eastAsia" w:ascii="仿宋_GB2312" w:hAnsi="Helvetica Neue" w:eastAsia="仿宋_GB2312" w:cs="宋体"/>
          <w:color w:val="000000" w:themeColor="text1"/>
          <w:kern w:val="0"/>
          <w:sz w:val="28"/>
          <w:szCs w:val="28"/>
        </w:rPr>
        <w:t>　　</w:t>
      </w:r>
      <w:r>
        <w:rPr>
          <w:rFonts w:hint="eastAsia" w:ascii="仿宋_GB2312" w:hAnsi="方正仿宋_GB2312" w:eastAsia="仿宋_GB2312" w:cs="方正仿宋_GB2312"/>
          <w:color w:val="000000" w:themeColor="text1"/>
          <w:sz w:val="28"/>
          <w:szCs w:val="28"/>
        </w:rPr>
        <w:t>（7）</w:t>
      </w:r>
      <w:r>
        <w:rPr>
          <w:rFonts w:hint="eastAsia" w:ascii="仿宋_GB2312" w:hAnsi="Helvetica Neue" w:eastAsia="仿宋_GB2312" w:cs="宋体"/>
          <w:color w:val="000000" w:themeColor="text1"/>
          <w:kern w:val="0"/>
          <w:sz w:val="28"/>
          <w:szCs w:val="28"/>
        </w:rPr>
        <w:t>不得在地下空间内设置托儿所、幼儿园的生活用房；专门开设儿童活动场所。</w:t>
      </w:r>
    </w:p>
    <w:p>
      <w:pPr>
        <w:widowControl/>
        <w:shd w:val="clear" w:color="auto" w:fill="FFFFFF"/>
        <w:snapToGrid w:val="0"/>
        <w:spacing w:line="360" w:lineRule="auto"/>
        <w:rPr>
          <w:rFonts w:hint="eastAsia" w:ascii="仿宋_GB2312" w:hAnsi="Helvetica Neue" w:eastAsia="仿宋_GB2312" w:cs="宋体"/>
          <w:color w:val="000000" w:themeColor="text1"/>
          <w:kern w:val="0"/>
          <w:sz w:val="28"/>
          <w:szCs w:val="28"/>
        </w:rPr>
      </w:pPr>
      <w:r>
        <w:rPr>
          <w:rFonts w:hint="eastAsia" w:ascii="仿宋_GB2312" w:hAnsi="Helvetica Neue" w:eastAsia="仿宋_GB2312" w:cs="宋体"/>
          <w:color w:val="000000" w:themeColor="text1"/>
          <w:kern w:val="0"/>
          <w:sz w:val="28"/>
          <w:szCs w:val="28"/>
        </w:rPr>
        <w:t>　　不得在地下空间内设置传染病诊室和传染病病房、医院和疗养院的住院部。</w:t>
      </w:r>
    </w:p>
    <w:p>
      <w:pPr>
        <w:widowControl/>
        <w:shd w:val="clear" w:color="auto" w:fill="FFFFFF"/>
        <w:snapToGrid w:val="0"/>
        <w:spacing w:line="360" w:lineRule="auto"/>
        <w:rPr>
          <w:rFonts w:hint="eastAsia" w:ascii="仿宋_GB2312" w:hAnsi="Helvetica Neue" w:eastAsia="仿宋_GB2312" w:cs="宋体"/>
          <w:color w:val="000000" w:themeColor="text1"/>
          <w:kern w:val="0"/>
          <w:sz w:val="28"/>
          <w:szCs w:val="28"/>
        </w:rPr>
      </w:pPr>
      <w:r>
        <w:rPr>
          <w:rFonts w:hint="eastAsia" w:ascii="仿宋_GB2312" w:hAnsi="Helvetica Neue" w:eastAsia="仿宋_GB2312" w:cs="宋体"/>
          <w:color w:val="000000" w:themeColor="text1"/>
          <w:kern w:val="0"/>
          <w:sz w:val="28"/>
          <w:szCs w:val="28"/>
        </w:rPr>
        <w:t>　　不得在不具备无障碍设施的人防工程内设立残疾人活动场所。</w:t>
      </w:r>
    </w:p>
    <w:p>
      <w:pPr>
        <w:widowControl/>
        <w:shd w:val="clear" w:color="auto" w:fill="FFFFFF"/>
        <w:snapToGrid w:val="0"/>
        <w:spacing w:line="360" w:lineRule="auto"/>
        <w:rPr>
          <w:rFonts w:hint="eastAsia" w:ascii="仿宋_GB2312" w:hAnsi="Helvetica Neue" w:eastAsia="仿宋_GB2312" w:cs="宋体"/>
          <w:color w:val="000000" w:themeColor="text1"/>
          <w:kern w:val="0"/>
          <w:sz w:val="28"/>
          <w:szCs w:val="28"/>
        </w:rPr>
      </w:pPr>
      <w:r>
        <w:rPr>
          <w:rFonts w:hint="eastAsia" w:ascii="仿宋_GB2312" w:hAnsi="Helvetica Neue" w:eastAsia="仿宋_GB2312" w:cs="宋体"/>
          <w:color w:val="000000" w:themeColor="text1"/>
          <w:kern w:val="0"/>
          <w:sz w:val="28"/>
          <w:szCs w:val="28"/>
        </w:rPr>
        <w:t>　　</w:t>
      </w:r>
      <w:r>
        <w:rPr>
          <w:rFonts w:hint="eastAsia" w:ascii="仿宋_GB2312" w:hAnsi="方正仿宋_GB2312" w:eastAsia="仿宋_GB2312" w:cs="方正仿宋_GB2312"/>
          <w:color w:val="000000" w:themeColor="text1"/>
          <w:sz w:val="28"/>
          <w:szCs w:val="28"/>
        </w:rPr>
        <w:t>（8）</w:t>
      </w:r>
      <w:r>
        <w:rPr>
          <w:rFonts w:hint="eastAsia" w:ascii="仿宋_GB2312" w:hAnsi="Helvetica Neue" w:eastAsia="仿宋_GB2312" w:cs="宋体"/>
          <w:color w:val="000000" w:themeColor="text1"/>
          <w:kern w:val="0"/>
          <w:sz w:val="28"/>
          <w:szCs w:val="28"/>
        </w:rPr>
        <w:t>不得利用负二层及其以下设置居住场所。</w:t>
      </w:r>
    </w:p>
    <w:p>
      <w:pPr>
        <w:widowControl/>
        <w:shd w:val="clear" w:color="auto" w:fill="FFFFFF"/>
        <w:snapToGrid w:val="0"/>
        <w:spacing w:line="360" w:lineRule="auto"/>
        <w:rPr>
          <w:rFonts w:hint="eastAsia" w:ascii="仿宋_GB2312" w:hAnsi="Helvetica Neue" w:eastAsia="仿宋_GB2312" w:cs="宋体"/>
          <w:color w:val="000000" w:themeColor="text1"/>
          <w:kern w:val="0"/>
          <w:sz w:val="28"/>
          <w:szCs w:val="28"/>
        </w:rPr>
      </w:pPr>
      <w:r>
        <w:rPr>
          <w:rFonts w:hint="eastAsia" w:ascii="仿宋_GB2312" w:hAnsi="Helvetica Neue" w:eastAsia="仿宋_GB2312" w:cs="宋体"/>
          <w:color w:val="000000" w:themeColor="text1"/>
          <w:kern w:val="0"/>
          <w:sz w:val="28"/>
          <w:szCs w:val="28"/>
        </w:rPr>
        <w:t>　　</w:t>
      </w:r>
      <w:r>
        <w:rPr>
          <w:rFonts w:hint="eastAsia" w:ascii="仿宋_GB2312" w:hAnsi="方正仿宋_GB2312" w:eastAsia="仿宋_GB2312" w:cs="方正仿宋_GB2312"/>
          <w:color w:val="000000" w:themeColor="text1"/>
          <w:sz w:val="28"/>
          <w:szCs w:val="28"/>
        </w:rPr>
        <w:t>（9）</w:t>
      </w:r>
      <w:r>
        <w:rPr>
          <w:rFonts w:hint="eastAsia" w:ascii="仿宋_GB2312" w:hAnsi="Helvetica Neue" w:eastAsia="仿宋_GB2312" w:cs="宋体"/>
          <w:color w:val="000000" w:themeColor="text1"/>
          <w:kern w:val="0"/>
          <w:sz w:val="28"/>
          <w:szCs w:val="28"/>
        </w:rPr>
        <w:t>不得设置储能电站。</w:t>
      </w:r>
    </w:p>
    <w:p>
      <w:pPr>
        <w:widowControl/>
        <w:shd w:val="clear" w:color="auto" w:fill="FFFFFF"/>
        <w:snapToGrid w:val="0"/>
        <w:spacing w:line="360" w:lineRule="auto"/>
        <w:ind w:firstLine="560" w:firstLineChars="200"/>
        <w:rPr>
          <w:rFonts w:hint="eastAsia" w:ascii="仿宋_GB2312" w:hAnsi="Helvetica Neue" w:eastAsia="仿宋_GB2312" w:cs="宋体"/>
          <w:color w:val="000000" w:themeColor="text1"/>
          <w:kern w:val="0"/>
          <w:sz w:val="28"/>
          <w:szCs w:val="28"/>
        </w:rPr>
      </w:pPr>
      <w:r>
        <w:rPr>
          <w:rFonts w:hint="eastAsia" w:ascii="仿宋_GB2312" w:hAnsi="Helvetica Neue" w:eastAsia="仿宋_GB2312" w:cs="宋体"/>
          <w:color w:val="000000" w:themeColor="text1"/>
          <w:kern w:val="0"/>
          <w:sz w:val="28"/>
          <w:szCs w:val="28"/>
        </w:rPr>
        <w:t>关于地下空间的证照管理、许可与备案、安全用电、使用用途、装饰装修与改造等请进一步参考本规范。</w:t>
      </w:r>
    </w:p>
    <w:p>
      <w:pPr>
        <w:pStyle w:val="47"/>
        <w:snapToGrid w:val="0"/>
        <w:spacing w:before="156" w:after="0" w:line="360" w:lineRule="auto"/>
        <w:ind w:left="0" w:leftChars="0" w:firstLine="562"/>
        <w:rPr>
          <w:rFonts w:ascii="仿宋_GB2312" w:hAnsi="Times New Roman" w:eastAsia="仿宋_GB2312"/>
          <w:b/>
          <w:color w:val="000000" w:themeColor="text1"/>
          <w:sz w:val="28"/>
          <w:szCs w:val="32"/>
        </w:rPr>
      </w:pPr>
      <w:r>
        <w:rPr>
          <w:rFonts w:hint="eastAsia" w:ascii="仿宋_GB2312" w:hAnsi="Times New Roman" w:eastAsia="仿宋_GB2312"/>
          <w:b/>
          <w:color w:val="000000" w:themeColor="text1"/>
          <w:sz w:val="28"/>
          <w:szCs w:val="32"/>
        </w:rPr>
        <w:t>根据《住宅物业服务标准》：</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1.建立有限空间及地下空间台账；（一至五级）</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2.每月巡视一次并建立保留日常巡视档案。（一至五级）</w:t>
      </w:r>
    </w:p>
    <w:p>
      <w:pPr>
        <w:pStyle w:val="49"/>
        <w:spacing w:before="156"/>
        <w:ind w:firstLine="562" w:firstLineChars="200"/>
        <w:rPr>
          <w:rFonts w:cs="仿宋"/>
          <w:color w:val="000000" w:themeColor="text1"/>
          <w:sz w:val="40"/>
          <w:szCs w:val="28"/>
        </w:rPr>
      </w:pPr>
      <w:r>
        <w:rPr>
          <w:rFonts w:hint="eastAsia"/>
          <w:color w:val="000000" w:themeColor="text1"/>
        </w:rPr>
        <w:t>风险提示</w:t>
      </w:r>
    </w:p>
    <w:p>
      <w:pPr>
        <w:pStyle w:val="49"/>
        <w:spacing w:before="156"/>
        <w:ind w:firstLine="562" w:firstLineChars="200"/>
        <w:rPr>
          <w:color w:val="000000" w:themeColor="text1"/>
        </w:rPr>
      </w:pPr>
      <w:r>
        <w:rPr>
          <w:rFonts w:hint="eastAsia"/>
          <w:color w:val="000000" w:themeColor="text1"/>
        </w:rPr>
        <w:t>根据《中华人民共和国人民防空法》：</w:t>
      </w:r>
    </w:p>
    <w:p>
      <w:pPr>
        <w:widowControl/>
        <w:shd w:val="clear" w:color="auto" w:fill="FFFFFF"/>
        <w:snapToGrid w:val="0"/>
        <w:spacing w:line="360" w:lineRule="auto"/>
        <w:ind w:firstLine="560" w:firstLineChars="200"/>
        <w:rPr>
          <w:rFonts w:hint="eastAsia" w:ascii="仿宋_GB2312" w:hAnsi="Helvetica Neue" w:eastAsia="仿宋_GB2312" w:cs="宋体"/>
          <w:color w:val="000000" w:themeColor="text1"/>
          <w:kern w:val="0"/>
          <w:sz w:val="28"/>
          <w:szCs w:val="28"/>
        </w:rPr>
      </w:pPr>
      <w:r>
        <w:rPr>
          <w:rFonts w:hint="eastAsia" w:ascii="仿宋_GB2312" w:hAnsi="Helvetica Neue" w:eastAsia="仿宋_GB2312" w:cs="宋体"/>
          <w:color w:val="000000" w:themeColor="text1"/>
          <w:kern w:val="0"/>
          <w:sz w:val="28"/>
          <w:szCs w:val="28"/>
        </w:rPr>
        <w:t>侵占人民防空工程的，由县级以上人民政府人民防空主管部门对当事人给予警告，并责令限期改正违法行为，可以对个人并处五千元以下的罚款、对单位并处一万元至五万元的罚款；造成损失的，应当依法赔偿损失。</w:t>
      </w:r>
    </w:p>
    <w:p>
      <w:pPr>
        <w:pStyle w:val="47"/>
        <w:snapToGrid w:val="0"/>
        <w:spacing w:beforeLines="50" w:after="0" w:line="360" w:lineRule="auto"/>
        <w:ind w:left="0" w:leftChars="0" w:firstLine="562"/>
        <w:rPr>
          <w:rFonts w:hint="eastAsia" w:ascii="仿宋_GB2312" w:hAnsi="Helvetica Neue" w:eastAsia="仿宋_GB2312" w:cs="宋体"/>
          <w:color w:val="000000" w:themeColor="text1"/>
          <w:kern w:val="0"/>
          <w:sz w:val="28"/>
          <w:szCs w:val="28"/>
        </w:rPr>
      </w:pPr>
      <w:r>
        <w:rPr>
          <w:rFonts w:hint="eastAsia" w:ascii="仿宋_GB2312" w:hAnsi="Times New Roman" w:eastAsia="仿宋_GB2312"/>
          <w:b/>
          <w:color w:val="000000" w:themeColor="text1"/>
          <w:sz w:val="28"/>
          <w:szCs w:val="32"/>
        </w:rPr>
        <w:t>根据《北京市人民防空条例》：</w:t>
      </w:r>
    </w:p>
    <w:p>
      <w:pPr>
        <w:widowControl/>
        <w:shd w:val="clear" w:color="auto" w:fill="FFFFFF"/>
        <w:snapToGrid w:val="0"/>
        <w:spacing w:line="360" w:lineRule="auto"/>
        <w:ind w:firstLine="560" w:firstLineChars="200"/>
        <w:rPr>
          <w:rFonts w:hint="eastAsia" w:ascii="仿宋_GB2312" w:hAnsi="Helvetica Neue" w:eastAsia="仿宋_GB2312" w:cs="宋体"/>
          <w:color w:val="000000" w:themeColor="text1"/>
          <w:kern w:val="0"/>
          <w:sz w:val="28"/>
          <w:szCs w:val="28"/>
        </w:rPr>
      </w:pPr>
      <w:r>
        <w:rPr>
          <w:rFonts w:hint="eastAsia" w:ascii="仿宋_GB2312" w:hAnsi="Helvetica Neue" w:eastAsia="仿宋_GB2312" w:cs="宋体"/>
          <w:color w:val="000000" w:themeColor="text1"/>
          <w:kern w:val="0"/>
          <w:sz w:val="28"/>
          <w:szCs w:val="28"/>
        </w:rPr>
        <w:t>有下列行为之一的，由人民防空主管部门给予警告，责令限期改正，可以对个人并处5000元以下罚款，对单位并处1万元以上5万元以下罚款；造成损失的，应当依法赔偿损失：</w:t>
      </w:r>
    </w:p>
    <w:p>
      <w:pPr>
        <w:widowControl/>
        <w:shd w:val="clear" w:color="auto" w:fill="FFFFFF"/>
        <w:snapToGrid w:val="0"/>
        <w:spacing w:line="360" w:lineRule="auto"/>
        <w:ind w:firstLine="560" w:firstLineChars="200"/>
        <w:rPr>
          <w:rFonts w:hint="eastAsia" w:ascii="仿宋_GB2312" w:hAnsi="Helvetica Neue" w:eastAsia="仿宋_GB2312" w:cs="宋体"/>
          <w:color w:val="000000" w:themeColor="text1"/>
          <w:kern w:val="0"/>
          <w:sz w:val="28"/>
          <w:szCs w:val="28"/>
        </w:rPr>
      </w:pPr>
      <w:r>
        <w:rPr>
          <w:rFonts w:hint="eastAsia" w:ascii="仿宋_GB2312" w:hAnsi="Helvetica Neue" w:eastAsia="仿宋_GB2312" w:cs="宋体"/>
          <w:color w:val="000000" w:themeColor="text1"/>
          <w:kern w:val="0"/>
          <w:sz w:val="28"/>
          <w:szCs w:val="28"/>
        </w:rPr>
        <w:t>（二）违反本条例第二十二条第二款、第三款规定，改变人民防空工程主体结构、拆除人民防空工程设备设施或者采用其他方法危害人民防空工程安全和防空效能的。</w:t>
      </w:r>
    </w:p>
    <w:p>
      <w:pPr>
        <w:widowControl/>
        <w:shd w:val="clear" w:color="auto" w:fill="FFFFFF"/>
        <w:snapToGrid w:val="0"/>
        <w:spacing w:line="360" w:lineRule="auto"/>
        <w:ind w:firstLine="560" w:firstLineChars="200"/>
        <w:rPr>
          <w:rFonts w:hint="eastAsia" w:ascii="仿宋_GB2312" w:hAnsi="Helvetica Neue" w:eastAsia="仿宋_GB2312" w:cs="宋体"/>
          <w:color w:val="000000" w:themeColor="text1"/>
          <w:kern w:val="0"/>
          <w:sz w:val="28"/>
          <w:szCs w:val="28"/>
        </w:rPr>
      </w:pPr>
      <w:r>
        <w:rPr>
          <w:rFonts w:hint="eastAsia" w:ascii="仿宋_GB2312" w:hAnsi="Helvetica Neue" w:eastAsia="仿宋_GB2312" w:cs="宋体"/>
          <w:color w:val="000000" w:themeColor="text1"/>
          <w:kern w:val="0"/>
          <w:sz w:val="28"/>
          <w:szCs w:val="28"/>
        </w:rPr>
        <w:t>（三）违反本条例第二十三条规定，向人民防空工程内排入废水、废气或者倾倒废弃物的。</w:t>
      </w:r>
    </w:p>
    <w:p>
      <w:pPr>
        <w:widowControl/>
        <w:shd w:val="clear" w:color="auto" w:fill="FFFFFF"/>
        <w:snapToGrid w:val="0"/>
        <w:spacing w:line="360" w:lineRule="auto"/>
        <w:ind w:firstLine="560" w:firstLineChars="200"/>
        <w:rPr>
          <w:rFonts w:hint="eastAsia" w:ascii="仿宋_GB2312" w:hAnsi="Helvetica Neue" w:eastAsia="仿宋_GB2312" w:cs="宋体"/>
          <w:color w:val="000000" w:themeColor="text1"/>
          <w:kern w:val="0"/>
          <w:sz w:val="28"/>
          <w:szCs w:val="28"/>
        </w:rPr>
      </w:pPr>
      <w:r>
        <w:rPr>
          <w:rFonts w:hint="eastAsia" w:ascii="仿宋_GB2312" w:hAnsi="Helvetica Neue" w:eastAsia="仿宋_GB2312" w:cs="宋体"/>
          <w:color w:val="000000" w:themeColor="text1"/>
          <w:kern w:val="0"/>
          <w:sz w:val="28"/>
          <w:szCs w:val="28"/>
        </w:rPr>
        <w:t>第四十七条违反本条例第二十二条第一款规定，平时利用人民防空工程，未经所在地区、县人民防空主管部门批准或者未按规定使用的，由人民防空主管部门责令限期改正；危害人民防空工程安全和防空效能的，可以对个人并处5000元以下罚款，对单位并处1万元以上5万元以下罚款；造成损失的，应当依法赔偿损失。</w:t>
      </w:r>
    </w:p>
    <w:p>
      <w:pPr>
        <w:pStyle w:val="47"/>
        <w:snapToGrid w:val="0"/>
        <w:spacing w:beforeLines="50" w:after="0" w:line="360" w:lineRule="auto"/>
        <w:ind w:left="0" w:leftChars="0" w:firstLine="562"/>
        <w:rPr>
          <w:rFonts w:ascii="仿宋_GB2312" w:hAnsi="Times New Roman" w:eastAsia="仿宋_GB2312"/>
          <w:b/>
          <w:color w:val="000000" w:themeColor="text1"/>
          <w:sz w:val="28"/>
          <w:szCs w:val="32"/>
        </w:rPr>
      </w:pPr>
      <w:r>
        <w:rPr>
          <w:rFonts w:hint="eastAsia" w:ascii="仿宋_GB2312" w:hAnsi="Times New Roman" w:eastAsia="仿宋_GB2312"/>
          <w:b/>
          <w:color w:val="000000" w:themeColor="text1"/>
          <w:sz w:val="28"/>
          <w:szCs w:val="32"/>
        </w:rPr>
        <w:t>根据《北京市人民防空工程建设与使用管理规定》（北京市人民政府令1号）：</w:t>
      </w:r>
    </w:p>
    <w:p>
      <w:pPr>
        <w:pStyle w:val="47"/>
        <w:snapToGrid w:val="0"/>
        <w:spacing w:after="0" w:line="360" w:lineRule="auto"/>
        <w:ind w:left="0" w:leftChars="0" w:firstLine="560"/>
        <w:rPr>
          <w:rFonts w:ascii="仿宋_GB2312" w:hAnsi="Times New Roman" w:eastAsia="仿宋_GB2312"/>
          <w:color w:val="000000" w:themeColor="text1"/>
          <w:sz w:val="28"/>
          <w:szCs w:val="32"/>
        </w:rPr>
      </w:pPr>
      <w:r>
        <w:rPr>
          <w:rFonts w:hint="eastAsia" w:ascii="仿宋_GB2312" w:hAnsi="Times New Roman" w:eastAsia="仿宋_GB2312"/>
          <w:color w:val="000000" w:themeColor="text1"/>
          <w:sz w:val="28"/>
          <w:szCs w:val="32"/>
        </w:rPr>
        <w:t>擅自改造、改变人防工程主体结构的，由人民防空主管部门对当事人给予警告、责令限期改正，可以对个人并处5000元以下罚款，对单位并处1万元至5万元罚款；造成损失的，应当依法赔偿损失。</w:t>
      </w:r>
    </w:p>
    <w:p>
      <w:pPr>
        <w:widowControl/>
        <w:snapToGrid w:val="0"/>
        <w:jc w:val="left"/>
        <w:rPr>
          <w:rFonts w:ascii="仿宋_GB2312" w:hAnsi="Arial" w:eastAsia="仿宋_GB2312"/>
          <w:color w:val="000000" w:themeColor="text1"/>
          <w:sz w:val="32"/>
        </w:rPr>
      </w:pPr>
      <w:r>
        <w:rPr>
          <w:rFonts w:ascii="仿宋_GB2312" w:hAnsi="Arial" w:eastAsia="仿宋_GB2312"/>
          <w:color w:val="000000" w:themeColor="text1"/>
          <w:sz w:val="32"/>
        </w:rPr>
        <w:br w:type="page"/>
      </w:r>
    </w:p>
    <w:p>
      <w:pPr>
        <w:pStyle w:val="4"/>
        <w:spacing w:before="312" w:after="312"/>
        <w:rPr>
          <w:color w:val="000000" w:themeColor="text1"/>
        </w:rPr>
      </w:pPr>
      <w:bookmarkStart w:id="60" w:name="_Toc150435238"/>
      <w:r>
        <w:rPr>
          <w:rFonts w:hint="eastAsia"/>
          <w:color w:val="000000" w:themeColor="text1"/>
        </w:rPr>
        <w:t>（十）水景检修养护合规指南</w:t>
      </w:r>
      <w:bookmarkEnd w:id="59"/>
      <w:bookmarkEnd w:id="60"/>
    </w:p>
    <w:p>
      <w:pPr>
        <w:spacing w:line="360" w:lineRule="auto"/>
        <w:ind w:firstLine="562" w:firstLineChars="200"/>
        <w:rPr>
          <w:rFonts w:ascii="仿宋_GB2312" w:hAnsi="方正仿宋_GB2312" w:eastAsia="仿宋_GB2312" w:cs="方正仿宋_GB2312"/>
          <w:b/>
          <w:color w:val="000000" w:themeColor="text1"/>
          <w:sz w:val="28"/>
          <w:szCs w:val="28"/>
        </w:rPr>
      </w:pPr>
      <w:r>
        <w:rPr>
          <w:rFonts w:hint="eastAsia" w:ascii="仿宋_GB2312" w:hAnsi="方正仿宋_GB2312" w:eastAsia="仿宋_GB2312" w:cs="方正仿宋_GB2312"/>
          <w:b/>
          <w:color w:val="000000" w:themeColor="text1"/>
          <w:sz w:val="28"/>
          <w:szCs w:val="28"/>
        </w:rPr>
        <w:t>根据《住宅物业服务标准》：</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1.启用前进行防渗漏和防漏电检查，防止渗漏，保证用电安全。（一至五级）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2.使用期间每周巡查1次喷水池、水泵及其附属设施，每季度检查1次防漏电设施。（一级）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使用期间每周巡查2次喷水池、水泵及其附属设施，每2个月检查1次防漏电设施。（二级）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使用期间每周巡查3次喷水池、水泵及其附属设施，每月检查1次防漏电设施。（三级）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使用期间每日巡查1次喷水池、水泵及其附属设施，每半月检查1次防漏电设施。（四级）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使用期间每日巡查1次喷水池、水泵及其附属设施，每周检查1次防漏电设施。（五级）</w:t>
      </w:r>
    </w:p>
    <w:p>
      <w:pPr>
        <w:tabs>
          <w:tab w:val="left" w:pos="312"/>
        </w:tabs>
        <w:spacing w:line="360" w:lineRule="auto"/>
        <w:ind w:left="56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3.设置必要的安全警示标识。</w:t>
      </w:r>
      <w:bookmarkStart w:id="61" w:name="_Hlk109951402"/>
      <w:r>
        <w:rPr>
          <w:rFonts w:hint="eastAsia" w:ascii="仿宋_GB2312" w:hAnsi="方正仿宋_GB2312" w:eastAsia="仿宋_GB2312" w:cs="方正仿宋_GB2312"/>
          <w:color w:val="000000" w:themeColor="text1"/>
          <w:sz w:val="28"/>
          <w:szCs w:val="28"/>
        </w:rPr>
        <w:t>（一至五级）</w:t>
      </w:r>
      <w:bookmarkEnd w:id="61"/>
    </w:p>
    <w:p>
      <w:pPr>
        <w:spacing w:line="360" w:lineRule="auto"/>
        <w:ind w:firstLine="562" w:firstLineChars="200"/>
        <w:rPr>
          <w:rFonts w:ascii="仿宋_GB2312" w:hAnsi="仿宋" w:eastAsia="仿宋_GB2312" w:cs="仿宋"/>
          <w:b/>
          <w:color w:val="000000" w:themeColor="text1"/>
          <w:sz w:val="40"/>
          <w:szCs w:val="28"/>
        </w:rPr>
      </w:pPr>
      <w:r>
        <w:rPr>
          <w:rFonts w:hint="eastAsia" w:ascii="仿宋_GB2312" w:eastAsia="仿宋_GB2312"/>
          <w:b/>
          <w:color w:val="000000" w:themeColor="text1"/>
          <w:sz w:val="28"/>
        </w:rPr>
        <w:t>风险提示</w:t>
      </w:r>
    </w:p>
    <w:p>
      <w:pPr>
        <w:spacing w:line="360" w:lineRule="auto"/>
        <w:ind w:firstLine="562" w:firstLineChars="200"/>
        <w:rPr>
          <w:rFonts w:ascii="仿宋_GB2312" w:hAnsi="方正仿宋_GB2312" w:eastAsia="仿宋_GB2312" w:cs="方正仿宋_GB2312"/>
          <w:b/>
          <w:color w:val="000000" w:themeColor="text1"/>
          <w:sz w:val="28"/>
          <w:szCs w:val="28"/>
        </w:rPr>
      </w:pPr>
      <w:r>
        <w:rPr>
          <w:rFonts w:hint="eastAsia" w:ascii="仿宋_GB2312" w:hAnsi="方正仿宋_GB2312" w:eastAsia="仿宋_GB2312" w:cs="方正仿宋_GB2312"/>
          <w:b/>
          <w:color w:val="000000" w:themeColor="text1"/>
          <w:sz w:val="28"/>
          <w:szCs w:val="28"/>
        </w:rPr>
        <w:t>根据《北京市节约用水办法》：</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住宅小区和单位内部的景观环境用水使用自来水的，由节水管理部门责令限期改正，处1万元以上3万元以下罚款。</w:t>
      </w:r>
    </w:p>
    <w:p>
      <w:pPr>
        <w:widowControl/>
        <w:jc w:val="left"/>
        <w:rPr>
          <w:rFonts w:ascii="仿宋_GB2312" w:eastAsia="仿宋_GB2312"/>
          <w:color w:val="000000" w:themeColor="text1"/>
        </w:rPr>
      </w:pPr>
      <w:r>
        <w:rPr>
          <w:rFonts w:hint="eastAsia" w:ascii="仿宋_GB2312" w:eastAsia="仿宋_GB2312"/>
          <w:color w:val="000000" w:themeColor="text1"/>
        </w:rPr>
        <w:br w:type="page"/>
      </w:r>
    </w:p>
    <w:p>
      <w:pPr>
        <w:pStyle w:val="4"/>
        <w:spacing w:before="312" w:after="312"/>
        <w:rPr>
          <w:color w:val="000000" w:themeColor="text1"/>
        </w:rPr>
      </w:pPr>
      <w:bookmarkStart w:id="62" w:name="_Toc1940418196"/>
      <w:bookmarkStart w:id="63" w:name="_Toc150435239"/>
      <w:r>
        <w:rPr>
          <w:rFonts w:hint="eastAsia"/>
          <w:color w:val="000000" w:themeColor="text1"/>
        </w:rPr>
        <w:t>（十一）消防安全防范及设施检修养护合规指南</w:t>
      </w:r>
      <w:bookmarkEnd w:id="62"/>
      <w:bookmarkEnd w:id="63"/>
    </w:p>
    <w:p>
      <w:pPr>
        <w:snapToGrid w:val="0"/>
        <w:spacing w:beforeLines="50" w:line="360" w:lineRule="auto"/>
        <w:ind w:firstLine="562" w:firstLineChars="200"/>
        <w:rPr>
          <w:rFonts w:ascii="仿宋_GB2312" w:hAnsi="方正仿宋_GB2312" w:eastAsia="仿宋_GB2312" w:cs="方正仿宋_GB2312"/>
          <w:b/>
          <w:color w:val="000000" w:themeColor="text1"/>
          <w:sz w:val="28"/>
          <w:szCs w:val="28"/>
        </w:rPr>
      </w:pPr>
      <w:r>
        <w:rPr>
          <w:rFonts w:hint="eastAsia" w:ascii="仿宋_GB2312" w:hAnsi="方正仿宋_GB2312" w:eastAsia="仿宋_GB2312" w:cs="方正仿宋_GB2312"/>
          <w:b/>
          <w:color w:val="000000" w:themeColor="text1"/>
          <w:sz w:val="28"/>
          <w:szCs w:val="28"/>
        </w:rPr>
        <w:t>根据《高层民用建筑消防安全管理规定》（</w:t>
      </w:r>
      <w:r>
        <w:rPr>
          <w:rFonts w:ascii="仿宋_GB2312" w:hAnsi="方正仿宋_GB2312" w:eastAsia="仿宋_GB2312" w:cs="方正仿宋_GB2312"/>
          <w:b/>
          <w:color w:val="000000" w:themeColor="text1"/>
          <w:sz w:val="28"/>
          <w:szCs w:val="28"/>
        </w:rPr>
        <w:t>中华人民共和国应急管理部令第5号</w:t>
      </w:r>
      <w:r>
        <w:rPr>
          <w:rFonts w:hint="eastAsia" w:ascii="仿宋_GB2312" w:hAnsi="方正仿宋_GB2312" w:eastAsia="仿宋_GB2312" w:cs="方正仿宋_GB2312"/>
          <w:b/>
          <w:color w:val="000000" w:themeColor="text1"/>
          <w:sz w:val="28"/>
          <w:szCs w:val="28"/>
        </w:rPr>
        <w:t>）：</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1</w:t>
      </w:r>
      <w:r>
        <w:rPr>
          <w:rFonts w:ascii="仿宋_GB2312" w:hAnsi="方正仿宋_GB2312" w:eastAsia="仿宋_GB2312" w:cs="方正仿宋_GB2312"/>
          <w:color w:val="000000" w:themeColor="text1"/>
          <w:sz w:val="28"/>
          <w:szCs w:val="28"/>
        </w:rPr>
        <w:t>.</w:t>
      </w:r>
      <w:r>
        <w:rPr>
          <w:rFonts w:hint="eastAsia" w:ascii="仿宋_GB2312" w:hAnsi="方正仿宋_GB2312" w:eastAsia="仿宋_GB2312" w:cs="方正仿宋_GB2312"/>
          <w:color w:val="000000" w:themeColor="text1"/>
          <w:sz w:val="28"/>
          <w:szCs w:val="28"/>
        </w:rPr>
        <w:t>设有建筑外墙外保温系统的高层民用建筑，其管理单位应当在主入口及周边相关显著位置，设置提示性和警示性标识，标示外墙外保温材料的燃烧性能、防火要求。对高层民用建筑外墙外保温系统破损、开裂和脱落的，应当及时修复。高层民用建筑在进行外墙外保温系统施工时，建设单位应当采取必要的防火隔离以及限制住人和使用的措施，确保建筑内人员安全。</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2</w:t>
      </w:r>
      <w:r>
        <w:rPr>
          <w:rFonts w:ascii="仿宋_GB2312" w:hAnsi="方正仿宋_GB2312" w:eastAsia="仿宋_GB2312" w:cs="方正仿宋_GB2312"/>
          <w:color w:val="000000" w:themeColor="text1"/>
          <w:sz w:val="28"/>
          <w:szCs w:val="28"/>
        </w:rPr>
        <w:t>.</w:t>
      </w:r>
      <w:r>
        <w:rPr>
          <w:rFonts w:hint="eastAsia" w:ascii="仿宋_GB2312" w:hAnsi="方正仿宋_GB2312" w:eastAsia="仿宋_GB2312" w:cs="方正仿宋_GB2312"/>
          <w:color w:val="000000" w:themeColor="text1"/>
          <w:sz w:val="28"/>
          <w:szCs w:val="28"/>
        </w:rPr>
        <w:t>高层民用建筑内的锅炉房、变配电室、空调机房、自备发电机房、储油间、消防水泵房、消防水箱间、防排烟风机房等设备用房应当按照消防技术标准设置，确定为消防安全重点部位，设置明显的防火标志，实行严格管理，并不得占用和堆放杂物。</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3</w:t>
      </w:r>
      <w:r>
        <w:rPr>
          <w:rFonts w:ascii="仿宋_GB2312" w:hAnsi="方正仿宋_GB2312" w:eastAsia="仿宋_GB2312" w:cs="方正仿宋_GB2312"/>
          <w:color w:val="000000" w:themeColor="text1"/>
          <w:sz w:val="28"/>
          <w:szCs w:val="28"/>
        </w:rPr>
        <w:t>.</w:t>
      </w:r>
      <w:r>
        <w:rPr>
          <w:rFonts w:hint="eastAsia" w:ascii="仿宋_GB2312" w:hAnsi="方正仿宋_GB2312" w:eastAsia="仿宋_GB2312" w:cs="方正仿宋_GB2312"/>
          <w:color w:val="000000" w:themeColor="text1"/>
          <w:sz w:val="28"/>
          <w:szCs w:val="28"/>
        </w:rPr>
        <w:t>高层民用建筑消防控制室应当由其管理单位实行24小时值班制度，每班不应少于2名值班人员。</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消防控制室值班操作人员应当依法取得相应等级的消防行业特有工种职业资格证书，熟练掌握火警处置程序和要求，按照有关规定检查自动消防设施、联动控制设备运行情况，确保其处于正常工作状态。</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消防控制室内应当保存高层民用建筑总平面布局图、平面布置图和消防设施系统图及控制逻辑关系说明、建筑消防设施维修保养记录和检测报告等资料。</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4</w:t>
      </w:r>
      <w:r>
        <w:rPr>
          <w:rFonts w:ascii="仿宋_GB2312" w:hAnsi="方正仿宋_GB2312" w:eastAsia="仿宋_GB2312" w:cs="方正仿宋_GB2312"/>
          <w:color w:val="000000" w:themeColor="text1"/>
          <w:sz w:val="28"/>
          <w:szCs w:val="28"/>
        </w:rPr>
        <w:t>.</w:t>
      </w:r>
      <w:r>
        <w:rPr>
          <w:rFonts w:hint="eastAsia" w:ascii="仿宋_GB2312" w:hAnsi="方正仿宋_GB2312" w:eastAsia="仿宋_GB2312" w:cs="方正仿宋_GB2312"/>
          <w:color w:val="000000" w:themeColor="text1"/>
          <w:sz w:val="28"/>
          <w:szCs w:val="28"/>
        </w:rPr>
        <w:t>高层公共建筑内有关单位、高层住宅建筑所在社区居民委员会或者物业服务企业按照规定建立的专职消防队、志愿消防队（微型消防站）等消防组织，应当配备必要的人员、场所和器材、装备，定期进行消防技能培训和演练，开展防火巡查、消防宣传，及时处置、扑救初起火灾。</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5</w:t>
      </w:r>
      <w:r>
        <w:rPr>
          <w:rFonts w:ascii="仿宋_GB2312" w:hAnsi="方正仿宋_GB2312" w:eastAsia="仿宋_GB2312" w:cs="方正仿宋_GB2312"/>
          <w:color w:val="000000" w:themeColor="text1"/>
          <w:sz w:val="28"/>
          <w:szCs w:val="28"/>
        </w:rPr>
        <w:t>.</w:t>
      </w:r>
      <w:r>
        <w:rPr>
          <w:rFonts w:hint="eastAsia" w:ascii="仿宋_GB2312" w:hAnsi="方正仿宋_GB2312" w:eastAsia="仿宋_GB2312" w:cs="方正仿宋_GB2312"/>
          <w:color w:val="000000" w:themeColor="text1"/>
          <w:sz w:val="28"/>
          <w:szCs w:val="28"/>
        </w:rPr>
        <w:t>禁止在高层民用建筑公共门厅、疏散走道、楼梯间、安全出口停放电动自行车或者为电动自行车充电。</w:t>
      </w:r>
    </w:p>
    <w:p>
      <w:pPr>
        <w:snapToGrid w:val="0"/>
        <w:spacing w:beforeLines="50" w:line="360" w:lineRule="auto"/>
        <w:ind w:firstLine="562" w:firstLineChars="200"/>
        <w:rPr>
          <w:rFonts w:ascii="仿宋_GB2312" w:hAnsi="方正仿宋_GB2312" w:eastAsia="仿宋_GB2312" w:cs="方正仿宋_GB2312"/>
          <w:b/>
          <w:color w:val="000000" w:themeColor="text1"/>
          <w:sz w:val="28"/>
          <w:szCs w:val="28"/>
        </w:rPr>
      </w:pPr>
      <w:r>
        <w:rPr>
          <w:rFonts w:hint="eastAsia" w:ascii="仿宋_GB2312" w:hAnsi="方正仿宋_GB2312" w:eastAsia="仿宋_GB2312" w:cs="方正仿宋_GB2312"/>
          <w:b/>
          <w:color w:val="000000" w:themeColor="text1"/>
          <w:sz w:val="28"/>
          <w:szCs w:val="28"/>
        </w:rPr>
        <w:t>根据《北京市单位消防安全主体责任规定》（北京市人民政府令第310号）：</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1</w:t>
      </w:r>
      <w:r>
        <w:rPr>
          <w:rFonts w:ascii="仿宋_GB2312" w:hAnsi="方正仿宋_GB2312" w:eastAsia="仿宋_GB2312" w:cs="方正仿宋_GB2312"/>
          <w:color w:val="000000" w:themeColor="text1"/>
          <w:sz w:val="28"/>
          <w:szCs w:val="28"/>
        </w:rPr>
        <w:t>.</w:t>
      </w:r>
      <w:r>
        <w:rPr>
          <w:rFonts w:hint="eastAsia" w:ascii="仿宋_GB2312" w:hAnsi="方正仿宋_GB2312" w:eastAsia="仿宋_GB2312" w:cs="方正仿宋_GB2312"/>
          <w:color w:val="000000" w:themeColor="text1"/>
          <w:sz w:val="28"/>
          <w:szCs w:val="28"/>
        </w:rPr>
        <w:t>单位应当履行下列日常消防安全管理责任：</w:t>
      </w:r>
    </w:p>
    <w:p>
      <w:pPr>
        <w:snapToGrid w:val="0"/>
        <w:spacing w:line="360" w:lineRule="auto"/>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　　（1）依照法律法规和标准的规定，结合本单位实际，制定并组织落实本单位消防安全的规章制度和操作规程；</w:t>
      </w:r>
    </w:p>
    <w:p>
      <w:pPr>
        <w:snapToGrid w:val="0"/>
        <w:spacing w:line="360" w:lineRule="auto"/>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　　（2）依照国家和本市有关标准，配置消防设施和器材，设置醒目的消防安全标志，并定期进行维护保养；对建筑消防设施每年至少进行一次全面检测，确保其完好有效；</w:t>
      </w:r>
    </w:p>
    <w:p>
      <w:pPr>
        <w:snapToGrid w:val="0"/>
        <w:spacing w:line="360" w:lineRule="auto"/>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　　（3）定期开展防火检查，及时消除火灾隐患；不能及时消除的，应当采取防范措施，确保安全；防火检查等情况应当按照市消防救援机构的要求，通过信息系统如实记录；</w:t>
      </w:r>
    </w:p>
    <w:p>
      <w:pPr>
        <w:snapToGrid w:val="0"/>
        <w:spacing w:line="360" w:lineRule="auto"/>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　　（4）保障本单位疏散通道、安全出口畅通；在消防车通道设置明显标识，并不得占用；</w:t>
      </w:r>
    </w:p>
    <w:p>
      <w:pPr>
        <w:snapToGrid w:val="0"/>
        <w:spacing w:line="360" w:lineRule="auto"/>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　　（5）采用新技术、新工艺、新材料的或者经营室内体验、竞技类等新业态的，应当采取有针对性的火灾风险防范和事故应对处置措施，确保消防安全；</w:t>
      </w:r>
    </w:p>
    <w:p>
      <w:pPr>
        <w:snapToGrid w:val="0"/>
        <w:spacing w:line="360" w:lineRule="auto"/>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　　（6）加强本单位电动自行车消防安全管理，依照国家和本市有关标准，设置电动自行车停放、充电场所，并采取措施，制止在建筑物内违规停放电动自行车或者为电动自行车充电的行为。</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ascii="仿宋_GB2312" w:hAnsi="方正仿宋_GB2312" w:eastAsia="仿宋_GB2312" w:cs="方正仿宋_GB2312"/>
          <w:color w:val="000000" w:themeColor="text1"/>
          <w:sz w:val="28"/>
          <w:szCs w:val="28"/>
        </w:rPr>
        <w:t>2.</w:t>
      </w:r>
      <w:r>
        <w:rPr>
          <w:rFonts w:hint="eastAsia" w:ascii="仿宋_GB2312" w:hAnsi="方正仿宋_GB2312" w:eastAsia="仿宋_GB2312" w:cs="方正仿宋_GB2312"/>
          <w:color w:val="000000" w:themeColor="text1"/>
          <w:sz w:val="28"/>
          <w:szCs w:val="28"/>
        </w:rPr>
        <w:t>住宅区的物业服务单位或者其他管理单位应当履行下列消防安全服务责任：</w:t>
      </w:r>
    </w:p>
    <w:p>
      <w:pPr>
        <w:snapToGrid w:val="0"/>
        <w:spacing w:line="360" w:lineRule="auto"/>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　　（1）开展日常消防宣传，提示火灾隐患，每年至少组织一次本单位员工和居民参加的灭火和应急疏散演练；</w:t>
      </w:r>
    </w:p>
    <w:p>
      <w:pPr>
        <w:snapToGrid w:val="0"/>
        <w:spacing w:line="360" w:lineRule="auto"/>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　　（2）组织安全巡查，发现火灾隐患及时采取措施；</w:t>
      </w:r>
    </w:p>
    <w:p>
      <w:pPr>
        <w:snapToGrid w:val="0"/>
        <w:spacing w:line="360" w:lineRule="auto"/>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　　（3）对管理区域内的共用消防设施、器材进行维护管理，确保其完好有效；</w:t>
      </w:r>
    </w:p>
    <w:p>
      <w:pPr>
        <w:snapToGrid w:val="0"/>
        <w:spacing w:line="360" w:lineRule="auto"/>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　　（4）保障疏散通道、安全出口、消防车通道畅通；划定、设置停车泊位或者设施，不得占用、堵塞消防车通道；</w:t>
      </w:r>
    </w:p>
    <w:p>
      <w:pPr>
        <w:snapToGrid w:val="0"/>
        <w:spacing w:line="360" w:lineRule="auto"/>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　　（5）对占用、堵塞、封闭疏散通道、安全出口、消防车通道的行为，予以劝阻并督促改正；对拒不改正的，及时向有关部门报告；</w:t>
      </w:r>
    </w:p>
    <w:p>
      <w:pPr>
        <w:snapToGrid w:val="0"/>
        <w:spacing w:line="360" w:lineRule="auto"/>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　　（6）对初起火灾采取处置措施。</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bCs/>
          <w:color w:val="000000" w:themeColor="text1"/>
          <w:sz w:val="28"/>
          <w:szCs w:val="28"/>
        </w:rPr>
        <w:t>3</w:t>
      </w:r>
      <w:r>
        <w:rPr>
          <w:rFonts w:ascii="仿宋_GB2312" w:hAnsi="方正仿宋_GB2312" w:eastAsia="仿宋_GB2312" w:cs="方正仿宋_GB2312"/>
          <w:bCs/>
          <w:color w:val="000000" w:themeColor="text1"/>
          <w:sz w:val="28"/>
          <w:szCs w:val="28"/>
        </w:rPr>
        <w:t>.</w:t>
      </w:r>
      <w:r>
        <w:rPr>
          <w:rFonts w:hint="eastAsia" w:ascii="仿宋_GB2312" w:hAnsi="方正仿宋_GB2312" w:eastAsia="仿宋_GB2312" w:cs="方正仿宋_GB2312"/>
          <w:color w:val="000000" w:themeColor="text1"/>
          <w:sz w:val="28"/>
          <w:szCs w:val="28"/>
        </w:rPr>
        <w:t>高层民用建筑的产权人或者管理使用人，不得在消防登高操作场地设置构筑物、固定隔离桩、停车泊位等障碍物；不得在消防登高操作面设置架空管线、广告牌、装饰物等障碍物，影响消防车作业。</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4</w:t>
      </w:r>
      <w:r>
        <w:rPr>
          <w:rFonts w:ascii="仿宋_GB2312" w:hAnsi="方正仿宋_GB2312" w:eastAsia="仿宋_GB2312" w:cs="方正仿宋_GB2312"/>
          <w:color w:val="000000" w:themeColor="text1"/>
          <w:sz w:val="28"/>
          <w:szCs w:val="28"/>
        </w:rPr>
        <w:t>.</w:t>
      </w:r>
      <w:r>
        <w:rPr>
          <w:rFonts w:hint="eastAsia" w:ascii="仿宋_GB2312" w:hAnsi="方正仿宋_GB2312" w:eastAsia="仿宋_GB2312" w:cs="方正仿宋_GB2312"/>
          <w:color w:val="000000" w:themeColor="text1"/>
          <w:sz w:val="28"/>
          <w:szCs w:val="28"/>
        </w:rPr>
        <w:t>单位进行局部装修、改造施工，应当履行下列施工现场消防安全责任：</w:t>
      </w:r>
    </w:p>
    <w:p>
      <w:pPr>
        <w:snapToGrid w:val="0"/>
        <w:spacing w:line="360" w:lineRule="auto"/>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　　（1）明确划分施工区域，将施工区域和非施工区域进行有效的防火分隔，并确保非施工区域的人员疏散和建筑消防设施的正常使用；</w:t>
      </w:r>
    </w:p>
    <w:p>
      <w:pPr>
        <w:snapToGrid w:val="0"/>
        <w:spacing w:line="360" w:lineRule="auto"/>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　　（2）制定动火作业管理制度，明确动火作业的安全要求、审批程序和责任人员，对动火作业实施审批管理；</w:t>
      </w:r>
    </w:p>
    <w:p>
      <w:pPr>
        <w:snapToGrid w:val="0"/>
        <w:spacing w:line="360" w:lineRule="auto"/>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　　（3）监督施工单位落实本市有关建筑材料、涂料的使用，以及危险物品安全管理的要求；</w:t>
      </w:r>
    </w:p>
    <w:p>
      <w:pPr>
        <w:snapToGrid w:val="0"/>
        <w:spacing w:line="360" w:lineRule="auto"/>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　　（4）在施工区域建立健全视频监控等技术措施，加强消防安全的动态监测和检查巡视；人员密集场所施工期间，还应当安排专人进行现场监护；</w:t>
      </w:r>
    </w:p>
    <w:p>
      <w:pPr>
        <w:snapToGrid w:val="0"/>
        <w:spacing w:line="360" w:lineRule="auto"/>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　　（5）制定施工期间灭火和应急疏散专项预案，并组织施工单位进行演练。</w:t>
      </w:r>
    </w:p>
    <w:p>
      <w:pPr>
        <w:snapToGrid w:val="0"/>
        <w:spacing w:line="360" w:lineRule="auto"/>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　　施工单位对施工现场的消防安全负责，对施工动火、使用危险物品等具有火灾、爆炸危险性的作业，应当制定作业方案，施工人员应当遵守作业方案和操作规程，落实消防安全措施。</w:t>
      </w:r>
    </w:p>
    <w:p>
      <w:pPr>
        <w:spacing w:line="360" w:lineRule="auto"/>
        <w:ind w:firstLine="562" w:firstLineChars="200"/>
        <w:rPr>
          <w:rFonts w:ascii="仿宋_GB2312" w:hAnsi="方正仿宋_GB2312" w:eastAsia="仿宋_GB2312" w:cs="方正仿宋_GB2312"/>
          <w:b/>
          <w:color w:val="000000" w:themeColor="text1"/>
          <w:sz w:val="28"/>
          <w:szCs w:val="28"/>
        </w:rPr>
      </w:pPr>
      <w:r>
        <w:rPr>
          <w:rFonts w:hint="eastAsia" w:ascii="仿宋_GB2312" w:hAnsi="方正仿宋_GB2312" w:eastAsia="仿宋_GB2312" w:cs="方正仿宋_GB2312"/>
          <w:b/>
          <w:color w:val="000000" w:themeColor="text1"/>
          <w:sz w:val="28"/>
          <w:szCs w:val="28"/>
        </w:rPr>
        <w:t>根据《住宅物业服务标准》：</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1.综合管理</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（1）建立、落实消防安全责任制，明确各级岗位的消防安全职责。（一至五级）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（2）配备必要的消防器材，相关人员掌握消防基本知识和技能；每年组织1次有员工、业主或使用人参加的消防演练。（一至五级）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（3）设置消防安全宣传专栏，组织开展经常性的消防安全宣传教育；每年对员工进行2次消防安全培训，对新上岗和进入新岗位的员工进行上岗前的消防安全培训。（一至五级）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4）每日防火巡查1次，每月防火检查1次，室内外消火栓每月巡查1次，消防泵站、报警阀室、风机间、高位水箱间等消防重点部位每周巡查1次，防火巡查和检查时应填写巡查和检查记录。按照规定每年检测1次建筑消防设施，保障疏散通道、安全出口、消防车通道、电动车存放充电和消防设施、器材符合消防安全要求，检测记录应完整准确，存档备查。（一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5）发现有违反消防法律法规和临时管理规约、管理规约等妨害公共消防安全行为的，应及时进行劝阻、制止并告知整改，对情节严重或逾期不整改的，应及时向公安机关消防机构报告；根据公安机关消防机构提出的火灾隐患整改通知，及时整改消除火灾隐患。（一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（6）消防控制室设专人24小时值守，按规定配置人员，并做好值班记录，及时处理各类报警、故障信息；值班人员应持有消防中控室操作职业资质证书，证书原件自身携带或在主管部门集中保存。（一至五级）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（7）火灾发生后，应立即启动灭火和应急疏散预案，立即拨打119火警电话，组织安全疏散，实施初起火灾扑救； 火灾扑灭后，应保护火灾现场，协助火灾事故调查。（一至五级）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2.消防设施设备维修养护</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（1）火灾自动报警系统</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1）火灾报警控制器、联动控制设备</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每日巡查1次设备运行情况，保证24小时连续正常运行；每月检查测试1次报警控制器、联动控制设备的报警、联动控制、显示、打印等功能；每年机柜内部设备除尘1次。（一至五级）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2）火灾报警探测器、手动报警按钮、警报装置</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每月抽查测试1次火灾报警探测器、手动报警按钮、警报装置的报警、警报功能；探测器投入运行2年后，每隔3年由专业清洗单位清洗1次。（一至五级）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3）备用电源</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每月检查测试1次主、备电源切换；每季度备用电源、蓄电池充放电试验1次。（一至三级）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每月检查测试1次主、备电源切换；每季度备用电源、蓄电池充放电试验和表面除尘1次。（四至五级）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（2）消防广播系统</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每月检查测试1次消防专用电话、重要场所的对讲电话、对讲电话主机、播音设备、扩音器、扬声器的联动、强制切换功能，并测试音量；每年机柜内部除尘1次；每年柜中设备内部除尘1次。（一至五级）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（3）防排烟系统</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每月检查测试1次防排烟风机、排烟阀的联动功能，核对风速；每年养护1次防排烟风机、电源控制柜、风口、排烟阀等。（一至五级）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（4）防火分隔设施</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月抽查测试1次防火门的启闭功能、防火卷帘的手动和自动控制功能、电动防火阀的联动关闭功能；每年在防火卷帘门的电机转动、齿轮链条传动部位补充润滑油1次，电控箱内部除尘1次；每年检查维护1次防火门附件，在门的转动部位补充1次润滑油。（一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防火分隔设施；每月抽查测试1次防火门的启闭功能、防火卷帘的手动、自动控制功能、电动防火阀的联动关闭功能；每年在防火卷帘门的电机转动、齿轮链条传动部位补充1次润滑油，电控箱内部除尘1次；每年维修养护1次防火门附件。（二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防火分隔设施；每月抽查测试1次防火门的启闭功能、防火卷帘的手动、自动控制功能、电动防火阀的联动关闭功能；每年在防火卷帘门的电机转动、齿轮链条传动部位补充1次润滑油，电控箱内部除尘1次；每年维修养护2次防火门附件。（三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5）消防泵、喷淋泵每半月盘车1次，每半年测试1次；每季度检查1次润滑情况，每年养护1次室内、外消火栓，消火栓箱内各种配件完好，每半年检查一次消防水带、阀杆处加注润滑油并做一次放水试验。（一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（6）应急照明、疏散指示标识</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每月测试切断正常供电1次，测量1次照度和供电时间，安全出口门应向疏散方向开启，且入口处应设置明显标识。（一至五级）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（7）消防电梯</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每月检查测试1次按钮迫降和联动控制功能，轿厢内消防电话。（一至五级）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（8）灭火器</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每周巡查1次灭火器数量、位置情况；每半年检查核对1次灭火器选型、压力和有效期，保证处于完好状态。（一至五级）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（9）消防水池</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每月检查水位是否符合标准。（一至五级）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（10）消火栓</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消火栓有明显标识，室内消火栓箱不可上锁，箱内设备齐全、完好，室外消火栓不可埋压、圈占。（一至五级）</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（11）消防设施维护要求</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送风、排烟机房的工作环境整洁；送风机、排烟机、电源控制柜、送风口、排烟口、防火阀等，发现问题及时维修。</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防火卷帘门功能正常，周围无障碍物。防火门功能正常，附件完好。</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室外消火栓阀塞启闭杆端部周围无杂物；转动启闭杆，无锈蚀、无漏水；闷盖内橡胶卷圈完好，无漏水。</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室外消火栓附近无障碍物，地下消防栓井内无杂物。室内消火栓、水枪、水带、消防卷盘齐全完好，无锈蚀、无漏水、接口垫圈完好。</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报警按钮、指示灯及报警控制线路功能正常。</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自动喷水灭火系统喷头、报警控制阀、闸阀报警控制器、附件、管网接头等无外观损坏、锈蚀、渗漏，启闭位置不当等现象，发现异常及时修复。</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喷淋泵工作环境及喷淋泵、稳压设备、电源控制柜，湿式报警阀、管网、阀门、喷头、水泵接合器、储水设施等完好。</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消防泵工作环境及消防泵、稳压设备、电源控制柜、管网、阀门、水泵接合器、储水设施等正常完好。（一至五级）</w:t>
      </w:r>
    </w:p>
    <w:p>
      <w:pPr>
        <w:spacing w:line="360" w:lineRule="auto"/>
        <w:ind w:firstLine="562" w:firstLineChars="200"/>
        <w:rPr>
          <w:rFonts w:ascii="仿宋_GB2312" w:hAnsi="仿宋" w:eastAsia="仿宋_GB2312" w:cs="仿宋"/>
          <w:b/>
          <w:color w:val="000000" w:themeColor="text1"/>
          <w:sz w:val="40"/>
          <w:szCs w:val="28"/>
        </w:rPr>
      </w:pPr>
      <w:r>
        <w:rPr>
          <w:rFonts w:hint="eastAsia" w:ascii="仿宋_GB2312" w:eastAsia="仿宋_GB2312"/>
          <w:b/>
          <w:color w:val="000000" w:themeColor="text1"/>
          <w:sz w:val="28"/>
        </w:rPr>
        <w:t>风险提示</w:t>
      </w:r>
    </w:p>
    <w:p>
      <w:pPr>
        <w:snapToGrid w:val="0"/>
        <w:spacing w:beforeLines="50" w:line="360" w:lineRule="auto"/>
        <w:ind w:firstLine="562" w:firstLineChars="200"/>
        <w:rPr>
          <w:rFonts w:ascii="仿宋_GB2312" w:hAnsi="方正仿宋_GB2312" w:eastAsia="仿宋_GB2312" w:cs="方正仿宋_GB2312"/>
          <w:b/>
          <w:color w:val="000000" w:themeColor="text1"/>
          <w:sz w:val="28"/>
          <w:szCs w:val="28"/>
        </w:rPr>
      </w:pPr>
      <w:r>
        <w:rPr>
          <w:rFonts w:hint="eastAsia" w:ascii="仿宋_GB2312" w:hAnsi="方正仿宋_GB2312" w:eastAsia="仿宋_GB2312" w:cs="方正仿宋_GB2312"/>
          <w:b/>
          <w:color w:val="000000" w:themeColor="text1"/>
          <w:sz w:val="28"/>
          <w:szCs w:val="28"/>
        </w:rPr>
        <w:t>根据《中华人民共和国消防法》（中华人民共和国主席令第4号）：</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单位违反本法规定，有下列行为之一的，责令改正，处五千元以上五万元以下罚款：</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（一）消防设施、器材或者消防安全标志的配置、设置不符合国家标准、行业标准，或者未保持完好有效的；</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（二）损坏、挪用或者擅自拆除、停用消防设施、器材的；</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（三）占用、堵塞、封闭疏散通道、安全出口或者有其他妨碍安全疏散行为的；</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（四）埋压、圈占、遮挡消火栓或者占用防火间距的；</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（五）占用、堵塞、封闭消防车通道，妨碍消防车通行的；</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（六）人员密集场所在门窗上设置影响逃生和灭火救援的障碍物的；</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（七）对火灾隐患经消防救援机构通知后不及时采取措施消除的。</w:t>
      </w:r>
    </w:p>
    <w:p>
      <w:pPr>
        <w:snapToGrid w:val="0"/>
        <w:spacing w:beforeLines="50" w:line="360" w:lineRule="auto"/>
        <w:ind w:firstLine="562" w:firstLineChars="200"/>
        <w:rPr>
          <w:rFonts w:ascii="仿宋_GB2312" w:hAnsi="方正仿宋_GB2312" w:eastAsia="仿宋_GB2312" w:cs="方正仿宋_GB2312"/>
          <w:b/>
          <w:color w:val="000000" w:themeColor="text1"/>
          <w:sz w:val="28"/>
          <w:szCs w:val="28"/>
        </w:rPr>
      </w:pPr>
      <w:r>
        <w:rPr>
          <w:rFonts w:hint="eastAsia" w:ascii="仿宋_GB2312" w:hAnsi="方正仿宋_GB2312" w:eastAsia="仿宋_GB2312" w:cs="方正仿宋_GB2312"/>
          <w:b/>
          <w:color w:val="000000" w:themeColor="text1"/>
          <w:sz w:val="28"/>
          <w:szCs w:val="28"/>
        </w:rPr>
        <w:t>根据《北京市消防条例》：</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1</w:t>
      </w:r>
      <w:r>
        <w:rPr>
          <w:rFonts w:ascii="仿宋_GB2312" w:hAnsi="方正仿宋_GB2312" w:eastAsia="仿宋_GB2312" w:cs="方正仿宋_GB2312"/>
          <w:color w:val="000000" w:themeColor="text1"/>
          <w:sz w:val="28"/>
          <w:szCs w:val="28"/>
        </w:rPr>
        <w:t>.</w:t>
      </w:r>
      <w:r>
        <w:rPr>
          <w:rFonts w:hint="eastAsia" w:ascii="仿宋_GB2312" w:hAnsi="方正仿宋_GB2312" w:eastAsia="仿宋_GB2312" w:cs="方正仿宋_GB2312"/>
          <w:color w:val="000000" w:themeColor="text1"/>
          <w:sz w:val="28"/>
          <w:szCs w:val="28"/>
        </w:rPr>
        <w:t>单位</w:t>
      </w:r>
      <w:r>
        <w:fldChar w:fldCharType="begin"/>
      </w:r>
      <w:r>
        <w:instrText xml:space="preserve"> HYPERLINK "https://baike.baidu.com/item/%E6%B6%88%E9%98%B2%E6%8E%A7%E5%88%B6%E5%AE%A4/8994254?fromModule=lemma_inlink" \t "https://baike.baidu.com/item/%E5%8C%97%E4%BA%AC%E5%B8%82%E6%B6%88%E9%98%B2%E6%9D%A1%E4%BE%8B/_blank" </w:instrText>
      </w:r>
      <w:r>
        <w:fldChar w:fldCharType="separate"/>
      </w:r>
      <w:r>
        <w:rPr>
          <w:rFonts w:hint="eastAsia" w:ascii="仿宋_GB2312" w:hAnsi="方正仿宋_GB2312" w:eastAsia="仿宋_GB2312" w:cs="方正仿宋_GB2312"/>
          <w:color w:val="000000" w:themeColor="text1"/>
          <w:sz w:val="28"/>
          <w:szCs w:val="28"/>
        </w:rPr>
        <w:t>消防控制室</w:t>
      </w:r>
      <w:r>
        <w:rPr>
          <w:rFonts w:hint="eastAsia" w:ascii="仿宋_GB2312" w:hAnsi="方正仿宋_GB2312" w:eastAsia="仿宋_GB2312" w:cs="方正仿宋_GB2312"/>
          <w:color w:val="000000" w:themeColor="text1"/>
          <w:sz w:val="28"/>
          <w:szCs w:val="28"/>
        </w:rPr>
        <w:fldChar w:fldCharType="end"/>
      </w:r>
      <w:r>
        <w:rPr>
          <w:rFonts w:hint="eastAsia" w:ascii="仿宋_GB2312" w:hAnsi="方正仿宋_GB2312" w:eastAsia="仿宋_GB2312" w:cs="方正仿宋_GB2312"/>
          <w:color w:val="000000" w:themeColor="text1"/>
          <w:sz w:val="28"/>
          <w:szCs w:val="28"/>
        </w:rPr>
        <w:t>的值班人员有擅离职守等违反国家和本市消防控制室操作规程行为，或者单位未对本单位消防设备操作控制人员、专职和兼职防火人员等重点岗位的人员进行专项培训的，责令改正，并可处500元以上5000元以下罚款。</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消防安全重点单位未将本单位</w:t>
      </w:r>
      <w:r>
        <w:fldChar w:fldCharType="begin"/>
      </w:r>
      <w:r>
        <w:instrText xml:space="preserve"> HYPERLINK "https://baike.baidu.com/item/%E6%B6%88%E9%98%B2%E5%AE%89%E5%85%A8%E8%B4%A3%E4%BB%BB%E4%BA%BA/7548791?fromModule=lemma_inlink" \t "https://baike.baidu.com/item/%E5%8C%97%E4%BA%AC%E5%B8%82%E6%B6%88%E9%98%B2%E6%9D%A1%E4%BE%8B/_blank" </w:instrText>
      </w:r>
      <w:r>
        <w:fldChar w:fldCharType="separate"/>
      </w:r>
      <w:r>
        <w:rPr>
          <w:rFonts w:hint="eastAsia" w:ascii="仿宋_GB2312" w:hAnsi="方正仿宋_GB2312" w:eastAsia="仿宋_GB2312" w:cs="方正仿宋_GB2312"/>
          <w:color w:val="000000" w:themeColor="text1"/>
          <w:sz w:val="28"/>
          <w:szCs w:val="28"/>
        </w:rPr>
        <w:t>消防安全责任人</w:t>
      </w:r>
      <w:r>
        <w:rPr>
          <w:rFonts w:hint="eastAsia" w:ascii="仿宋_GB2312" w:hAnsi="方正仿宋_GB2312" w:eastAsia="仿宋_GB2312" w:cs="方正仿宋_GB2312"/>
          <w:color w:val="000000" w:themeColor="text1"/>
          <w:sz w:val="28"/>
          <w:szCs w:val="28"/>
        </w:rPr>
        <w:fldChar w:fldCharType="end"/>
      </w:r>
      <w:r>
        <w:rPr>
          <w:rFonts w:hint="eastAsia" w:ascii="仿宋_GB2312" w:hAnsi="方正仿宋_GB2312" w:eastAsia="仿宋_GB2312" w:cs="方正仿宋_GB2312"/>
          <w:color w:val="000000" w:themeColor="text1"/>
          <w:sz w:val="28"/>
          <w:szCs w:val="28"/>
        </w:rPr>
        <w:t>、</w:t>
      </w:r>
      <w:r>
        <w:fldChar w:fldCharType="begin"/>
      </w:r>
      <w:r>
        <w:instrText xml:space="preserve"> HYPERLINK "https://baike.baidu.com/item/%E6%B6%88%E9%98%B2%E5%AE%89%E5%85%A8%E7%AE%A1%E7%90%86%E4%BA%BA/3732599?fromModule=lemma_inlink" \t "https://baike.baidu.com/item/%E5%8C%97%E4%BA%AC%E5%B8%82%E6%B6%88%E9%98%B2%E6%9D%A1%E4%BE%8B/_blank" </w:instrText>
      </w:r>
      <w:r>
        <w:fldChar w:fldCharType="separate"/>
      </w:r>
      <w:r>
        <w:rPr>
          <w:rFonts w:hint="eastAsia" w:ascii="仿宋_GB2312" w:hAnsi="方正仿宋_GB2312" w:eastAsia="仿宋_GB2312" w:cs="方正仿宋_GB2312"/>
          <w:color w:val="000000" w:themeColor="text1"/>
          <w:sz w:val="28"/>
          <w:szCs w:val="28"/>
        </w:rPr>
        <w:t>消防安全管理人</w:t>
      </w:r>
      <w:r>
        <w:rPr>
          <w:rFonts w:hint="eastAsia" w:ascii="仿宋_GB2312" w:hAnsi="方正仿宋_GB2312" w:eastAsia="仿宋_GB2312" w:cs="方正仿宋_GB2312"/>
          <w:color w:val="000000" w:themeColor="text1"/>
          <w:sz w:val="28"/>
          <w:szCs w:val="28"/>
        </w:rPr>
        <w:fldChar w:fldCharType="end"/>
      </w:r>
      <w:r>
        <w:rPr>
          <w:rFonts w:hint="eastAsia" w:ascii="仿宋_GB2312" w:hAnsi="方正仿宋_GB2312" w:eastAsia="仿宋_GB2312" w:cs="方正仿宋_GB2312"/>
          <w:color w:val="000000" w:themeColor="text1"/>
          <w:sz w:val="28"/>
          <w:szCs w:val="28"/>
        </w:rPr>
        <w:t>的基本情况和消防安全管理制度、</w:t>
      </w:r>
      <w:r>
        <w:fldChar w:fldCharType="begin"/>
      </w:r>
      <w:r>
        <w:instrText xml:space="preserve"> HYPERLINK "https://baike.baidu.com/item/%E5%BA%94%E6%80%A5%E9%A2%84%E6%A1%88/2955453?fromModule=lemma_inlink" \t "https://baike.baidu.com/item/%E5%8C%97%E4%BA%AC%E5%B8%82%E6%B6%88%E9%98%B2%E6%9D%A1%E4%BE%8B/_blank" </w:instrText>
      </w:r>
      <w:r>
        <w:fldChar w:fldCharType="separate"/>
      </w:r>
      <w:r>
        <w:rPr>
          <w:rFonts w:hint="eastAsia" w:ascii="仿宋_GB2312" w:hAnsi="方正仿宋_GB2312" w:eastAsia="仿宋_GB2312" w:cs="方正仿宋_GB2312"/>
          <w:color w:val="000000" w:themeColor="text1"/>
          <w:sz w:val="28"/>
          <w:szCs w:val="28"/>
        </w:rPr>
        <w:t>应急预案</w:t>
      </w:r>
      <w:r>
        <w:rPr>
          <w:rFonts w:hint="eastAsia" w:ascii="仿宋_GB2312" w:hAnsi="方正仿宋_GB2312" w:eastAsia="仿宋_GB2312" w:cs="方正仿宋_GB2312"/>
          <w:color w:val="000000" w:themeColor="text1"/>
          <w:sz w:val="28"/>
          <w:szCs w:val="28"/>
        </w:rPr>
        <w:fldChar w:fldCharType="end"/>
      </w:r>
      <w:r>
        <w:rPr>
          <w:rFonts w:hint="eastAsia" w:ascii="仿宋_GB2312" w:hAnsi="方正仿宋_GB2312" w:eastAsia="仿宋_GB2312" w:cs="方正仿宋_GB2312"/>
          <w:color w:val="000000" w:themeColor="text1"/>
          <w:sz w:val="28"/>
          <w:szCs w:val="28"/>
        </w:rPr>
        <w:t>向所在区、县公安机关消防机构备案的，责令改正，并可处1000元以上2000元以下罚款；未按照本条例规定进行电气防火安全检测并将检测记录存档备查的，责令改正，并可处1000元以上1万元以下罚款。</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2</w:t>
      </w:r>
      <w:r>
        <w:rPr>
          <w:rFonts w:ascii="仿宋_GB2312" w:hAnsi="方正仿宋_GB2312" w:eastAsia="仿宋_GB2312" w:cs="方正仿宋_GB2312"/>
          <w:color w:val="000000" w:themeColor="text1"/>
          <w:sz w:val="28"/>
          <w:szCs w:val="28"/>
        </w:rPr>
        <w:t>.</w:t>
      </w:r>
      <w:r>
        <w:rPr>
          <w:rFonts w:hint="eastAsia" w:ascii="仿宋_GB2312" w:hAnsi="方正仿宋_GB2312" w:eastAsia="仿宋_GB2312" w:cs="方正仿宋_GB2312"/>
          <w:color w:val="000000" w:themeColor="text1"/>
          <w:sz w:val="28"/>
          <w:szCs w:val="28"/>
        </w:rPr>
        <w:t>住宅区的物业服务企业或者其他管理人有违反《</w:t>
      </w:r>
      <w:r>
        <w:fldChar w:fldCharType="begin"/>
      </w:r>
      <w:r>
        <w:instrText xml:space="preserve"> HYPERLINK "https://baike.baidu.com/item/%E4%B8%AD%E5%8D%8E%E4%BA%BA%E6%B0%91%E5%85%B1%E5%92%8C%E5%9B%BD%E6%B6%88%E9%98%B2%E6%B3%95/1856825?fromModule=lemma_inlink" \t "https://baike.baidu.com/item/%E5%8C%97%E4%BA%AC%E5%B8%82%E6%B6%88%E9%98%B2%E6%9D%A1%E4%BE%8B/_blank" </w:instrText>
      </w:r>
      <w:r>
        <w:fldChar w:fldCharType="separate"/>
      </w:r>
      <w:r>
        <w:rPr>
          <w:rFonts w:hint="eastAsia" w:ascii="仿宋_GB2312" w:hAnsi="方正仿宋_GB2312" w:eastAsia="仿宋_GB2312" w:cs="方正仿宋_GB2312"/>
          <w:color w:val="000000" w:themeColor="text1"/>
          <w:sz w:val="28"/>
          <w:szCs w:val="28"/>
        </w:rPr>
        <w:t>中华人民共和国消防法</w:t>
      </w:r>
      <w:r>
        <w:rPr>
          <w:rFonts w:hint="eastAsia" w:ascii="仿宋_GB2312" w:hAnsi="方正仿宋_GB2312" w:eastAsia="仿宋_GB2312" w:cs="方正仿宋_GB2312"/>
          <w:color w:val="000000" w:themeColor="text1"/>
          <w:sz w:val="28"/>
          <w:szCs w:val="28"/>
        </w:rPr>
        <w:fldChar w:fldCharType="end"/>
      </w:r>
      <w:r>
        <w:rPr>
          <w:rFonts w:hint="eastAsia" w:ascii="仿宋_GB2312" w:hAnsi="方正仿宋_GB2312" w:eastAsia="仿宋_GB2312" w:cs="方正仿宋_GB2312"/>
          <w:color w:val="000000" w:themeColor="text1"/>
          <w:sz w:val="28"/>
          <w:szCs w:val="28"/>
        </w:rPr>
        <w:t>》和本条例规定的下列行为的，按照下列规定处罚：</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（1）未按照规定对管理区域内的共用消防设施、器材进行维护管理，造成消防设施、器材不能保持完好有效的，责令改正，处5000元以上5万元以下罚款；</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（2）划定和设置停车泊位及设施占用、堵塞消防车通道的，责令改正，处5000元以上5万元以下罚款；</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（3）对占用、堵塞、封闭疏散通道、安全出口、消防车通道的行为未进行劝阻，或者未按照规定向公安机关消防机构或者公安派出所报告的，责令改正，处500元以上1000元以下罚款。</w:t>
      </w:r>
    </w:p>
    <w:p>
      <w:pPr>
        <w:snapToGrid w:val="0"/>
        <w:spacing w:beforeLines="50" w:line="360" w:lineRule="auto"/>
        <w:ind w:firstLine="562" w:firstLineChars="200"/>
        <w:rPr>
          <w:rFonts w:ascii="仿宋_GB2312" w:hAnsi="方正仿宋_GB2312" w:eastAsia="仿宋_GB2312" w:cs="方正仿宋_GB2312"/>
          <w:b/>
          <w:color w:val="000000" w:themeColor="text1"/>
          <w:sz w:val="28"/>
          <w:szCs w:val="28"/>
        </w:rPr>
      </w:pPr>
      <w:r>
        <w:rPr>
          <w:rFonts w:hint="eastAsia" w:ascii="仿宋_GB2312" w:hAnsi="方正仿宋_GB2312" w:eastAsia="仿宋_GB2312" w:cs="方正仿宋_GB2312"/>
          <w:b/>
          <w:color w:val="000000" w:themeColor="text1"/>
          <w:sz w:val="28"/>
          <w:szCs w:val="28"/>
        </w:rPr>
        <w:t>根据《高层民用建筑消防安全管理规定》：</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违反本规定，有下列行为之一的，由消防救援机构责令改正，对经营性单位和个人处2000元以上10000元以下罚款，对非经营性单位和个人处500元以上1000元以下罚款：</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（1）在高层民用建筑内进行电焊、气焊等明火作业，未履行动火审批手续、进行公告，或者未落实消防现场监护措施的；</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（2）高层民用建筑设置的户外广告牌、外装饰妨碍防烟排烟、逃生和灭火救援，或者改变、破坏建筑立面防火结构的；</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（3）未设置外墙外保温材料提示性和警示性标识，或者未及时修复破损、开裂和脱落的外墙外保温系统的；</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（4）未按照规定落实消防控制室值班制度，或者安排不具备相应条件的人员值班的；</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（5）未按照规定建立专职消防队、志愿消防队等消防组织的；</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（6）因维修等需要停用建筑消防设施未进行公告、未制定应急预案或者未落实防范措施的；</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（7）在高层民用建筑的公共门厅、疏散走道、楼梯间、安全出口停放电动自行车或者为电动自行车充电，拒不改正的。</w:t>
      </w:r>
    </w:p>
    <w:p>
      <w:pPr>
        <w:spacing w:line="360" w:lineRule="auto"/>
        <w:ind w:firstLine="562" w:firstLineChars="200"/>
        <w:rPr>
          <w:rFonts w:ascii="仿宋_GB2312" w:hAnsi="方正仿宋_GB2312" w:eastAsia="仿宋_GB2312" w:cs="方正仿宋_GB2312"/>
          <w:b/>
          <w:color w:val="000000" w:themeColor="text1"/>
          <w:sz w:val="28"/>
          <w:szCs w:val="28"/>
        </w:rPr>
      </w:pPr>
      <w:r>
        <w:rPr>
          <w:rFonts w:hint="eastAsia" w:ascii="仿宋_GB2312" w:hAnsi="方正仿宋_GB2312" w:eastAsia="仿宋_GB2312" w:cs="方正仿宋_GB2312"/>
          <w:b/>
          <w:color w:val="000000" w:themeColor="text1"/>
          <w:sz w:val="28"/>
          <w:szCs w:val="28"/>
        </w:rPr>
        <w:t>根据《北京市物业管理条例》：</w:t>
      </w:r>
    </w:p>
    <w:p>
      <w:pPr>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第九十八条　物业管理区域内有下列行为之一的，由有关主管部门按照下列规定予以查处：</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违反本条例第七十八条第（十）项规定，占用、堵塞、封闭消防通道、疏散通道，或者损坏消防设施的，由消防救援机构责令改正，对单位处五千元以上五万元以下的罚款，对个人处五百元的罚款。</w:t>
      </w:r>
    </w:p>
    <w:p>
      <w:pPr>
        <w:snapToGrid w:val="0"/>
        <w:spacing w:line="360" w:lineRule="auto"/>
        <w:ind w:firstLine="562" w:firstLineChars="200"/>
        <w:rPr>
          <w:rFonts w:ascii="仿宋_GB2312" w:hAnsi="方正仿宋_GB2312" w:eastAsia="仿宋_GB2312" w:cs="方正仿宋_GB2312"/>
          <w:b/>
          <w:color w:val="000000" w:themeColor="text1"/>
          <w:sz w:val="28"/>
          <w:szCs w:val="28"/>
        </w:rPr>
      </w:pPr>
      <w:r>
        <w:rPr>
          <w:rFonts w:hint="eastAsia" w:ascii="仿宋_GB2312" w:hAnsi="方正仿宋_GB2312" w:eastAsia="仿宋_GB2312" w:cs="方正仿宋_GB2312"/>
          <w:b/>
          <w:color w:val="000000" w:themeColor="text1"/>
          <w:sz w:val="28"/>
          <w:szCs w:val="28"/>
        </w:rPr>
        <w:t>根据《北京市单位消防安全主体责任规定》：</w:t>
      </w:r>
    </w:p>
    <w:p>
      <w:pPr>
        <w:snapToGrid w:val="0"/>
        <w:spacing w:line="360" w:lineRule="auto"/>
        <w:ind w:firstLine="560" w:firstLineChars="20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（1）未记录或者未如实记录防火检查情况的，由消防救援机构责令限期改正；逾期未改正的，处500元以上5000元以下罚款。</w:t>
      </w:r>
    </w:p>
    <w:p>
      <w:pPr>
        <w:snapToGrid w:val="0"/>
        <w:spacing w:line="360" w:lineRule="auto"/>
        <w:ind w:firstLine="56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（2）未采取措施制止在建筑物内违规停放电动自行车或者为电动自行车充电行为的，由消防救援机构责令限期改正；逾期未改正的，处1000元以上1万元以下罚款。</w:t>
      </w:r>
    </w:p>
    <w:p>
      <w:pPr>
        <w:snapToGrid w:val="0"/>
        <w:spacing w:line="360" w:lineRule="auto"/>
        <w:ind w:firstLine="560"/>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（3）设置障碍物影响消防车作业的，由消防救援机构责令改正，处5000元以上3万元以下罚款。</w:t>
      </w:r>
    </w:p>
    <w:p>
      <w:pPr>
        <w:snapToGrid w:val="0"/>
        <w:spacing w:line="360" w:lineRule="auto"/>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　　（4）未制定动火作业管理制度的，由消防救援机构责令改正，处1000元以上5000元以下罚款。</w:t>
      </w:r>
    </w:p>
    <w:p>
      <w:pPr>
        <w:snapToGrid w:val="0"/>
        <w:spacing w:line="360" w:lineRule="auto"/>
        <w:rPr>
          <w:rFonts w:ascii="仿宋_GB2312" w:hAnsi="方正仿宋_GB2312" w:eastAsia="仿宋_GB2312" w:cs="方正仿宋_GB2312"/>
          <w:color w:val="000000" w:themeColor="text1"/>
          <w:sz w:val="28"/>
          <w:szCs w:val="28"/>
        </w:rPr>
      </w:pPr>
      <w:r>
        <w:rPr>
          <w:rFonts w:hint="eastAsia" w:ascii="仿宋_GB2312" w:hAnsi="方正仿宋_GB2312" w:eastAsia="仿宋_GB2312" w:cs="方正仿宋_GB2312"/>
          <w:color w:val="000000" w:themeColor="text1"/>
          <w:sz w:val="28"/>
          <w:szCs w:val="28"/>
        </w:rPr>
        <w:t>　　（5）未制定和遵守作业方案的，由消防救援机构责令改正，处1万元以上3万元以下罚款。</w:t>
      </w:r>
    </w:p>
    <w:p>
      <w:pPr>
        <w:widowControl/>
        <w:jc w:val="left"/>
        <w:rPr>
          <w:rFonts w:ascii="仿宋_GB2312" w:eastAsia="仿宋_GB2312"/>
          <w:b/>
          <w:color w:val="000000" w:themeColor="text1"/>
          <w:kern w:val="44"/>
          <w:sz w:val="44"/>
        </w:rPr>
      </w:pPr>
      <w:bookmarkStart w:id="64" w:name="_Toc921956830"/>
      <w:r>
        <w:rPr>
          <w:color w:val="000000" w:themeColor="text1"/>
        </w:rPr>
        <w:br w:type="page"/>
      </w:r>
    </w:p>
    <w:p>
      <w:pPr>
        <w:pStyle w:val="48"/>
        <w:rPr>
          <w:color w:val="000000" w:themeColor="text1"/>
          <w:sz w:val="32"/>
        </w:rPr>
      </w:pPr>
    </w:p>
    <w:p>
      <w:pPr>
        <w:pStyle w:val="3"/>
        <w:spacing w:before="156" w:after="156"/>
        <w:rPr>
          <w:color w:val="000000" w:themeColor="text1"/>
        </w:rPr>
      </w:pPr>
      <w:bookmarkStart w:id="65" w:name="_Toc150435240"/>
      <w:r>
        <w:rPr>
          <w:rFonts w:hint="eastAsia"/>
          <w:color w:val="000000" w:themeColor="text1"/>
        </w:rPr>
        <w:t>三、绿化养护合规指南</w:t>
      </w:r>
      <w:bookmarkEnd w:id="64"/>
      <w:bookmarkEnd w:id="65"/>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园区绿化景观可以持续为业主和使用人营造温馨、舒适、整洁、美观的居住环境，为保持绿化景观的品质和可持续性，需要物业服务企业对园区绿化实施专业的养护管理。绿化养护管理与物业服务过程中的其他业务最大的不同点就在于其具有生命力，存在自身的生命周期规律，需要通过专业、持续的支撑维持和延长植物生命周期，营造居住环境品质，创造良好的社会效益，展示物业服务企业的良好形象。</w:t>
      </w:r>
    </w:p>
    <w:p>
      <w:pPr>
        <w:pStyle w:val="4"/>
        <w:spacing w:before="312" w:after="312"/>
        <w:rPr>
          <w:color w:val="000000" w:themeColor="text1"/>
        </w:rPr>
      </w:pPr>
      <w:bookmarkStart w:id="66" w:name="_Toc1233928705"/>
      <w:bookmarkStart w:id="67" w:name="_Toc150435241"/>
      <w:r>
        <w:rPr>
          <w:rFonts w:hint="eastAsia"/>
          <w:color w:val="000000" w:themeColor="text1"/>
        </w:rPr>
        <w:t>（一）养护标准</w:t>
      </w:r>
      <w:bookmarkEnd w:id="66"/>
      <w:bookmarkEnd w:id="67"/>
    </w:p>
    <w:p>
      <w:pPr>
        <w:spacing w:line="360" w:lineRule="auto"/>
        <w:ind w:firstLine="562" w:firstLineChars="200"/>
        <w:rPr>
          <w:rFonts w:ascii="仿宋_GB2312" w:hAnsi="方正仿宋_GB2312" w:eastAsia="仿宋_GB2312" w:cs="方正仿宋_GB2312"/>
          <w:b/>
          <w:color w:val="000000" w:themeColor="text1"/>
          <w:sz w:val="28"/>
          <w:szCs w:val="28"/>
        </w:rPr>
      </w:pPr>
      <w:r>
        <w:rPr>
          <w:rFonts w:hint="eastAsia" w:ascii="仿宋_GB2312" w:hAnsi="方正仿宋_GB2312" w:eastAsia="仿宋_GB2312" w:cs="方正仿宋_GB2312"/>
          <w:b/>
          <w:color w:val="000000" w:themeColor="text1"/>
          <w:sz w:val="28"/>
          <w:szCs w:val="28"/>
        </w:rPr>
        <w:t>根据《住宅物业服务标准》：</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1.乔木</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生长基本正常，植株无明显偏冠和缺枝，植株缺株率不高于10%。（一至二级）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植株生长正常，主枝基本完整，植株缺株率不高于8%。（三级）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植株生长良好，树冠基本完整，植株缺株率不高于5%。（四级）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植株生长健壮，树冠完整，出现死亡或缺株后应及时补栽，植株缺株率不高于3%。（五级）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2.灌木</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生长基本正常，植株无明显偏冠和缺枝，植株缺株率不高于10%。（一至二级）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植株生长正常，主枝完整，植株缺株率不高于8%。（三级）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植株生长正常，主枝完整，植株缺株率不高于5%。（四级）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植株生长健壮，枝叶丰满，主枝分布均匀合理，观赏效果好，符合植物品种的造型特点。植株生长正常，主枝完整，植株缺株率不高于3%。（五级）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3.绿篱和色块</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植株保存率高于85%，年成活率高于85%。（一级）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植株保存率高于90%，年成活率高于90%。（二级）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绿篱和色块：植株生长整齐，保存率高于95%，年成活率高于95%。（三级）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植株生长良好，轮廓清晰，高度一致，修剪和补种及时，保存率高于98%，年成活率高于98%。（四级）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造型整齐美观，轮廓清晰，高度一致，修剪及时，出现死亡或缺株应及时补栽。（五级）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4.植株生长基本健壮；茎干粗壮，基部分枝强健，蓬径基本饱满；株高基本一致。枯枝残花量不高于12%，缺株倒伏的花苗不高于15%。（一至二级）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植株生长基本健壮；茎干粗壮，基部分枝强健，蓬径基本饱满；株高基本一致。枯枝残花量不高于8%，缺株倒伏的花苗不高于12%。（三级）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植株生长基本健壮；茎干粗壮，基部分枝强健，蓬径基本饱满；株高一致。枯枝残花量不高于3%，缺株倒伏的花苗不高于8%。（四级）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植株生长健壮；茎干粗壮，基部分枝强健，蓬径饱满；花型美观，花色鲜艳，株高一致。基本无枯枝残花。缺株倒伏的花苗不高于3%。（五级）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5.草坪</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生长基本良好，草坪覆盖度高于80%。（一至二级）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草坪：生长基本良好，覆盖度高于90%。（三级）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草坪：生长基本良好，覆盖度高于95%。（四级）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草坪：生长茂盛，覆盖度高于98%。（五级）</w:t>
      </w:r>
    </w:p>
    <w:p>
      <w:pPr>
        <w:pStyle w:val="4"/>
        <w:spacing w:before="312" w:after="312"/>
        <w:rPr>
          <w:color w:val="000000" w:themeColor="text1"/>
        </w:rPr>
      </w:pPr>
      <w:bookmarkStart w:id="68" w:name="_Toc390165856"/>
      <w:bookmarkStart w:id="69" w:name="_Toc150435242"/>
      <w:r>
        <w:rPr>
          <w:rFonts w:hint="eastAsia"/>
          <w:color w:val="000000" w:themeColor="text1"/>
        </w:rPr>
        <w:t>（二）绿化养护内容</w:t>
      </w:r>
      <w:bookmarkEnd w:id="68"/>
      <w:bookmarkEnd w:id="69"/>
    </w:p>
    <w:p>
      <w:pPr>
        <w:spacing w:line="360" w:lineRule="auto"/>
        <w:ind w:firstLine="562" w:firstLineChars="200"/>
        <w:rPr>
          <w:rFonts w:ascii="仿宋_GB2312" w:hAnsi="方正仿宋_GB2312" w:eastAsia="仿宋_GB2312" w:cs="方正仿宋_GB2312"/>
          <w:b/>
          <w:color w:val="000000" w:themeColor="text1"/>
          <w:sz w:val="28"/>
          <w:szCs w:val="28"/>
        </w:rPr>
      </w:pPr>
      <w:r>
        <w:rPr>
          <w:rFonts w:hint="eastAsia" w:ascii="仿宋_GB2312" w:hAnsi="方正仿宋_GB2312" w:eastAsia="仿宋_GB2312" w:cs="方正仿宋_GB2312"/>
          <w:b/>
          <w:color w:val="000000" w:themeColor="text1"/>
          <w:sz w:val="28"/>
          <w:szCs w:val="28"/>
        </w:rPr>
        <w:t>根据《住宅物业服务标准》</w:t>
      </w:r>
      <w:r>
        <w:rPr>
          <w:rFonts w:hint="eastAsia" w:ascii="仿宋_GB2312" w:hAnsi="仿宋" w:eastAsia="仿宋_GB2312" w:cs="仿宋"/>
          <w:b/>
          <w:color w:val="000000" w:themeColor="text1"/>
          <w:sz w:val="28"/>
          <w:szCs w:val="28"/>
        </w:rPr>
        <w:t>《北京市物业管理条例》和《北京市绿化条例》</w:t>
      </w:r>
      <w:r>
        <w:rPr>
          <w:rFonts w:hint="eastAsia" w:ascii="仿宋_GB2312" w:hAnsi="方正仿宋_GB2312" w:eastAsia="仿宋_GB2312" w:cs="方正仿宋_GB2312"/>
          <w:b/>
          <w:color w:val="000000" w:themeColor="text1"/>
          <w:sz w:val="28"/>
          <w:szCs w:val="28"/>
        </w:rPr>
        <w:t>：</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1.灌溉</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根据天气、土壤和植物生长状况合理灌溉，不出现严重旱涝现象。一般植物在萌芽前、春季干旱期间、入冬前浇水1次。（一级）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出现干旱情况及时灌溉，不因旱涝原因导致植物出现枯萎现象。一般植物在萌芽前、四五月份、秋季、入冬前浇水1次。（二级）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有计划地进行浇灌，灌溉水下渗充足均匀，无明显旱涝情况发生；一般植物确保在萌芽前、4月、5月、秋季、入冬前浇水1次，冷季型草坪根据生长势和土壤情况适当增加灌溉次数。（三级）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有计划地进行浇灌，灌溉水下渗充足均匀，采用节水灌溉设备和措施，及时排涝；一般植物确保在萌芽前、4月、5月、秋季、入冬前浇水1次，需水量大的植物根据生长势和土壤情况合理灌溉。（四级）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有灌溉计划，灌溉水下渗充足且均匀，有排涝措施；采用节水灌溉设备和措施，能利用雨水资源进行灌溉；确保在萌芽前、四五月份、秋季、入冬前浇水，其他时间根据植物种类、生长情况和土壤墒情合理安排灌溉。（五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2.施肥</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根据植物生长情况施肥，一般乔木每3年至4年施肥1次；灌木每1年至2年施肥1次；地被和草坪植物每年开春后施肥1次；花坛植物根据生长情况进行追肥；生长不良的植物适当增加施肥频次。（一级）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根据植物生长情况施肥，一般乔木每2年施肥1次；灌木每年施肥1次；地被和草坪植物每年春季萌芽和入冬前后施肥1次至2次；花坛植物根据生长情况进行追肥；生长不良的植物适当增加施肥频次。（二级）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根据植物生长情况施肥，乔木每2年施肥1次至2次；灌木每年施肥1次至2次；地被和草坪植物每年施肥2次至3次；花坛植物根据生长情况进行追肥；尽量减少对化肥的依赖。（三级）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乔木每年施肥1次；灌木每年施肥2次至3次；地被和草坪植物每年施肥3次至4次；花坛植物根据生长情况进行追肥；有条件的，应使用有机肥料。（四级）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乔木每年施肥1次至2次，灌木每年施肥3次至4次，地被和草坪植物每年施肥4次至5次，花坛植物根据生长情况进行追肥；通过有机覆盖等方法，逐年增加土壤有机质。（五级）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3.病虫害防治</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（1）树木</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无严重危害状；枝叶受害率≤15%，树干受害率≤8%。（一至二级）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无严重危害状；枝叶受害率≤12%，树干受害率≤8%。（三级）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无明显危害状；枝叶受害率≤8%，树干受害率≤5%。（四级）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基本无危害状；枝叶受害率≤3%，树干受害率≤3%。（五级）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（2）花卉</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无严重有害生物危害状；植株受害率≤15%。（一至二级）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无严重有害生物危害状；植株受害率≤10%。（三级）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无明显有害生物危害状；植株受害率≤8%。（四级）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基本无有害生物危害状；植株受害率≤3%。（五级）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（3）草坪</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草受害≤15%；杂草率不超过10%。（一至二级）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草坪草受害度≤10%；杂草率不超过5%。（三级）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草坪草受害度≤6%；杂草率不超过2%。（四级）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草坪草受害度≤3%；无杂草。（五级）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4.整形修剪</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新植树木，栽植后三年内每年休眠期和生长季修剪均不少于2次。栽植三年后至未呈现衰老症状前，每年休眠期修剪不少于1次，生长季修剪均不少于2次。衰老阶段，休眠期每年修剪1次，2～3年进行1次回缩更新修剪，促进更新。</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居住区内严重影响居住采光、通风、安全的树木，物业服务企业应当按照有关技术规范及时组织修剪，当事人应当协助物业企业做好修剪工作。（一至五级）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（2）绿篱及色块每年整形修剪不少于3次；（一至五级）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（3）草坪：全年修剪不少于 3 次，自5月至9月，后一次修剪不晚于9月上旬； 苔草、麦冬：基本上可以不修剪，为提高观赏效果一年可修剪 2～3 次；冷季型草：要定期及时修剪，使草坪高度保持在 6cm～10cm。（一至五级）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5.除草</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每年全面除草1次，重点绿地增加除草次数，出现杂草的绿地面积不超过总绿地面积的30%。（一级）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每年全面除草2次，重点绿地增加除草次数，出现杂草的绿地面积不超过总绿地面积的20%。（二级）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每年全面除草3次，重点绿地增加除草次数；出现杂草的绿地面积不超过总绿地面积的10%，季节性杂草能得到有效控制。（三级）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每年全面除草4次，重点绿地增加除草次数；出现杂草的绿地面积不超过总绿地面积的5%，发现50厘米以上的杂草应及时清除。（四级）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每年全面除草5次，重点绿地增加除草次数，出现杂草的绿地面积不超过总绿地面积的2%，局部杂草覆盖率不超过绿地面积的30%，不出现20厘米以上的杂草。（五级）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6.垃圾处理</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绿化作业产生的垃圾和绿地内的垃圾杂物5日内清除，枯枝落叶可资源化利用，不得焚烧。（一至五级）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7.防火工作</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物业服务企业应当按照国家和本市绿地、树木养护规范对绿地、树木进行管护并做好防火工作。</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8.禁止下列损害绿化的行为</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（1）在树木旁或者绿地内倾倒、排放污水、垃圾、渣土及其他废弃物；</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（2）损毁树木、花草及绿化设施；</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（3）在树木或者绿化设施上悬挂广告牌或者其他物品；</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（4）在绿地内取土、搭建构筑物；</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（5）在绿地内用火、烧烤；</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（6）违反国家和本市有关规定截除树木主干、去除树冠；</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（7）其他损害绿化成果及绿化设施的行为。</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9.严格限制移植树木。因城市建设、居住安全和设施安全等特殊原因确需移植树木的，应当经园林绿化部门批准。移植许可证应当在移植现场公示，接受公众监督。</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10.严格控制砍伐树木。符合下列情形之一的树木，经批准可以砍伐：</w:t>
      </w:r>
    </w:p>
    <w:p>
      <w:pPr>
        <w:autoSpaceDE w:val="0"/>
        <w:autoSpaceDN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（1）已经死亡的；</w:t>
      </w:r>
    </w:p>
    <w:p>
      <w:pPr>
        <w:autoSpaceDE w:val="0"/>
        <w:autoSpaceDN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（2）发生检疫性病虫害无保留价值或者发生其他严重病虫害的；</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（3）因抚育或者更新改造需要且无移植价值的；</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（4）因城市建设、居住安全和设施安全等特殊原因确需移植但无法移植或者无移植价值的。</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11.未经批准不得临时占用绿地。因特殊情况确需临时占用绿地的，应当经园林绿化部门批准。其中临时占用其他绿地的，由区园林绿化部门批准。临时占用期限最长不得超过2年。临时占用绿地期满后，占用人应当按照规定恢复原状。</w:t>
      </w:r>
    </w:p>
    <w:p>
      <w:pPr>
        <w:spacing w:line="360" w:lineRule="auto"/>
        <w:ind w:firstLine="562" w:firstLineChars="200"/>
        <w:rPr>
          <w:rFonts w:ascii="仿宋_GB2312" w:hAnsi="仿宋" w:eastAsia="仿宋_GB2312" w:cs="仿宋"/>
          <w:b/>
          <w:color w:val="000000" w:themeColor="text1"/>
          <w:sz w:val="40"/>
          <w:szCs w:val="28"/>
        </w:rPr>
      </w:pPr>
      <w:r>
        <w:rPr>
          <w:rFonts w:hint="eastAsia" w:ascii="仿宋_GB2312" w:eastAsia="仿宋_GB2312"/>
          <w:b/>
          <w:color w:val="000000" w:themeColor="text1"/>
          <w:sz w:val="28"/>
        </w:rPr>
        <w:t>风险提示</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1.违反第7条未按照养护规范进行养护并做好防火工作的，责令限期改正；逾期不改正，造成树木死亡、绿化设施损毁、景区风貌破坏的，处2000元以上2万元以下罚款。</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2.违反第8条第（1）项至第（5）项、第（7）项规定，损害绿化成果及绿化设施的，责令停止违法行为。情节较轻的，处20元以上50元以下罚款；情节严重的，处50元以上500元以下罚款。</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3.违反第9条规定移植树木的，责令限期改正；无法改正的，责令在规定地点补种移植株数5倍的树木，并可以处所移植树木价值3至5倍的罚款。</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4.违反第10条规定砍伐树木的，责令停止违法行为，并在规定地点补种砍伐株数10倍的树木，处所砍伐树木价值5至10倍的罚款。</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5.违反第8条第（6）项，未按照国家和本市有关规定截除树木主干、去除树冠的，依照前款规定处理。</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6.未经许可擅自改变绿地性质和用途或者临时占用绿地的，责令限期改正、恢复原状，并按照改变的面积处每平方米300元以上3000元以下罚款。</w:t>
      </w:r>
    </w:p>
    <w:p>
      <w:pPr>
        <w:widowControl/>
        <w:jc w:val="left"/>
        <w:rPr>
          <w:rFonts w:ascii="仿宋_GB2312" w:hAnsi="Arial" w:eastAsia="仿宋_GB2312"/>
          <w:b/>
          <w:color w:val="000000" w:themeColor="text1"/>
          <w:sz w:val="32"/>
        </w:rPr>
      </w:pPr>
      <w:r>
        <w:rPr>
          <w:rFonts w:hint="eastAsia" w:ascii="仿宋_GB2312" w:eastAsia="仿宋_GB2312"/>
          <w:color w:val="000000" w:themeColor="text1"/>
        </w:rPr>
        <w:br w:type="page"/>
      </w:r>
    </w:p>
    <w:p>
      <w:pPr>
        <w:pStyle w:val="4"/>
        <w:spacing w:before="312" w:after="312"/>
        <w:rPr>
          <w:color w:val="000000" w:themeColor="text1"/>
        </w:rPr>
      </w:pPr>
      <w:bookmarkStart w:id="70" w:name="_Toc150435243"/>
      <w:bookmarkStart w:id="71" w:name="_Toc1249967501"/>
      <w:r>
        <w:rPr>
          <w:rFonts w:hint="eastAsia"/>
          <w:color w:val="000000" w:themeColor="text1"/>
        </w:rPr>
        <w:t>（三）工作检查和记录要求</w:t>
      </w:r>
      <w:bookmarkEnd w:id="70"/>
      <w:bookmarkEnd w:id="71"/>
    </w:p>
    <w:p>
      <w:pPr>
        <w:spacing w:line="360" w:lineRule="auto"/>
        <w:ind w:firstLine="562" w:firstLineChars="200"/>
        <w:rPr>
          <w:rFonts w:ascii="仿宋_GB2312" w:eastAsia="仿宋_GB2312"/>
          <w:b/>
          <w:color w:val="000000" w:themeColor="text1"/>
        </w:rPr>
      </w:pPr>
      <w:r>
        <w:rPr>
          <w:rFonts w:hint="eastAsia" w:ascii="仿宋_GB2312" w:hAnsi="方正仿宋_GB2312" w:eastAsia="仿宋_GB2312" w:cs="方正仿宋_GB2312"/>
          <w:b/>
          <w:color w:val="000000" w:themeColor="text1"/>
          <w:sz w:val="28"/>
          <w:szCs w:val="28"/>
        </w:rPr>
        <w:t>根据《住宅物业服务标准》：</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1.生长季节每月检查1次植物生长情况。（一级）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生长季节每2周检查1次植物生长情况（二级）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生长季节每月检查3次绿化工作。（三级）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生长季节每月检查4次绿化工作。（四级）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生长季节每周至少检查1次绿化工作。（五级）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2.遇有严重影响居住采光、通风、安全及严重病虫害的树木，管护单位应当通过疏枝、短截、回缩等修剪方法解决。（一至五级）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3.建立病虫害防治台账。（一至五级）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4.编制绿化养护措施和工作计划。（二级）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编制每季度绿化养护措施和工作计划。（三级）</w:t>
      </w:r>
    </w:p>
    <w:p>
      <w:pPr>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编制每月绿化养护措施和工作计划。（四级）</w:t>
      </w:r>
    </w:p>
    <w:p>
      <w:pPr>
        <w:spacing w:line="360" w:lineRule="auto"/>
        <w:ind w:firstLine="560" w:firstLineChars="200"/>
        <w:rPr>
          <w:rFonts w:ascii="仿宋_GB2312" w:eastAsia="仿宋_GB2312"/>
          <w:color w:val="000000" w:themeColor="text1"/>
        </w:rPr>
      </w:pPr>
      <w:r>
        <w:rPr>
          <w:rFonts w:hint="eastAsia" w:ascii="仿宋_GB2312" w:hAnsi="仿宋" w:eastAsia="仿宋_GB2312" w:cs="仿宋"/>
          <w:color w:val="000000" w:themeColor="text1"/>
          <w:sz w:val="28"/>
          <w:szCs w:val="28"/>
        </w:rPr>
        <w:t>编制每周绿化养护措施和工作计划。（五级）</w:t>
      </w:r>
    </w:p>
    <w:p>
      <w:pPr>
        <w:widowControl/>
        <w:jc w:val="left"/>
        <w:rPr>
          <w:rFonts w:ascii="仿宋_GB2312" w:eastAsia="仿宋_GB2312"/>
          <w:color w:val="000000" w:themeColor="text1"/>
        </w:rPr>
      </w:pPr>
      <w:bookmarkStart w:id="72" w:name="_Toc2137657557_WPSOffice_Level2"/>
      <w:r>
        <w:rPr>
          <w:rFonts w:hint="eastAsia" w:ascii="仿宋_GB2312" w:eastAsia="仿宋_GB2312"/>
          <w:color w:val="000000" w:themeColor="text1"/>
        </w:rPr>
        <w:br w:type="page"/>
      </w:r>
    </w:p>
    <w:p>
      <w:pPr>
        <w:widowControl/>
        <w:jc w:val="left"/>
        <w:rPr>
          <w:rFonts w:ascii="仿宋_GB2312" w:eastAsia="仿宋_GB2312"/>
          <w:color w:val="000000" w:themeColor="text1"/>
          <w:sz w:val="32"/>
        </w:rPr>
      </w:pPr>
    </w:p>
    <w:p>
      <w:pPr>
        <w:pStyle w:val="3"/>
        <w:spacing w:before="156" w:after="156"/>
        <w:rPr>
          <w:color w:val="000000" w:themeColor="text1"/>
        </w:rPr>
      </w:pPr>
      <w:bookmarkStart w:id="73" w:name="_Toc150435244"/>
      <w:bookmarkStart w:id="74" w:name="_Toc1419411927"/>
      <w:r>
        <w:rPr>
          <w:rFonts w:hint="eastAsia"/>
          <w:color w:val="000000" w:themeColor="text1"/>
        </w:rPr>
        <w:t>四、环境卫生维护合规指南</w:t>
      </w:r>
      <w:bookmarkEnd w:id="73"/>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住宅小区的环境卫生工作是物业管理的重要组成部分，它以清扫、保洁、生活垃圾的收集、分类、存储、清运等为主要工作内容。良好的环境卫生直接关系到物业区域的整洁，而且对于减少疾病，保障居民身心健康十分重要，也是衡量物业管理水平和实现房产价值的重要指标之一。</w:t>
      </w:r>
    </w:p>
    <w:p>
      <w:pPr>
        <w:pStyle w:val="4"/>
        <w:snapToGrid w:val="0"/>
        <w:spacing w:before="312" w:after="312"/>
        <w:rPr>
          <w:color w:val="000000" w:themeColor="text1"/>
        </w:rPr>
      </w:pPr>
      <w:bookmarkStart w:id="75" w:name="_Toc150435245"/>
      <w:r>
        <w:rPr>
          <w:rFonts w:hint="eastAsia"/>
          <w:color w:val="000000" w:themeColor="text1"/>
        </w:rPr>
        <w:t>（一）生活垃圾的分类与收集</w:t>
      </w:r>
      <w:bookmarkEnd w:id="75"/>
    </w:p>
    <w:p>
      <w:pPr>
        <w:widowControl/>
        <w:snapToGrid w:val="0"/>
        <w:spacing w:beforeLines="50" w:line="360" w:lineRule="auto"/>
        <w:ind w:firstLine="562" w:firstLineChars="200"/>
        <w:rPr>
          <w:rFonts w:ascii="仿宋_GB2312" w:hAnsi="仿宋" w:eastAsia="仿宋_GB2312" w:cs="仿宋"/>
          <w:b/>
          <w:color w:val="000000" w:themeColor="text1"/>
          <w:sz w:val="28"/>
          <w:szCs w:val="28"/>
        </w:rPr>
      </w:pPr>
      <w:r>
        <w:rPr>
          <w:rFonts w:hint="eastAsia" w:ascii="仿宋_GB2312" w:hAnsi="仿宋" w:eastAsia="仿宋_GB2312" w:cs="仿宋"/>
          <w:b/>
          <w:color w:val="000000" w:themeColor="text1"/>
          <w:sz w:val="28"/>
          <w:szCs w:val="28"/>
        </w:rPr>
        <w:t>根据《北京市生活垃圾管理条例》：</w:t>
      </w:r>
    </w:p>
    <w:p>
      <w:pPr>
        <w:snapToGrid w:val="0"/>
        <w:spacing w:line="360" w:lineRule="auto"/>
        <w:ind w:firstLine="560" w:firstLineChars="200"/>
        <w:rPr>
          <w:rFonts w:ascii="仿宋_GB2312" w:hAnsi="仿宋" w:eastAsia="仿宋_GB2312" w:cs="仿宋"/>
          <w:color w:val="000000" w:themeColor="text1"/>
          <w:sz w:val="28"/>
          <w:szCs w:val="28"/>
        </w:rPr>
      </w:pPr>
      <w:r>
        <w:rPr>
          <w:rFonts w:ascii="仿宋_GB2312" w:hAnsi="仿宋" w:eastAsia="仿宋_GB2312" w:cs="仿宋"/>
          <w:color w:val="000000" w:themeColor="text1"/>
          <w:sz w:val="28"/>
          <w:szCs w:val="28"/>
        </w:rPr>
        <w:t>1.</w:t>
      </w:r>
      <w:r>
        <w:rPr>
          <w:rFonts w:hint="eastAsia" w:ascii="仿宋_GB2312" w:hAnsi="仿宋" w:eastAsia="仿宋_GB2312" w:cs="仿宋"/>
          <w:color w:val="000000" w:themeColor="text1"/>
          <w:sz w:val="28"/>
          <w:szCs w:val="28"/>
        </w:rPr>
        <w:t>本市实行生活垃圾分类管理责任人制度。实行物业管理的，由物业管理单位负责。</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2</w:t>
      </w:r>
      <w:r>
        <w:rPr>
          <w:rFonts w:ascii="仿宋_GB2312" w:hAnsi="仿宋" w:eastAsia="仿宋_GB2312" w:cs="仿宋"/>
          <w:color w:val="000000" w:themeColor="text1"/>
          <w:sz w:val="28"/>
          <w:szCs w:val="28"/>
        </w:rPr>
        <w:t>.</w:t>
      </w:r>
      <w:r>
        <w:rPr>
          <w:rFonts w:hint="eastAsia" w:ascii="仿宋_GB2312" w:hAnsi="仿宋" w:eastAsia="仿宋_GB2312" w:cs="仿宋"/>
          <w:color w:val="000000" w:themeColor="text1"/>
          <w:sz w:val="28"/>
          <w:szCs w:val="28"/>
        </w:rPr>
        <w:t>建立生活垃圾分类日常管理制度，在责任范围内开展生活垃圾分类知识宣传，指定专人负责指导、监督单位和个人进行生活垃圾分类。</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3</w:t>
      </w:r>
      <w:r>
        <w:rPr>
          <w:rFonts w:ascii="仿宋_GB2312" w:hAnsi="仿宋" w:eastAsia="仿宋_GB2312" w:cs="仿宋"/>
          <w:color w:val="000000" w:themeColor="text1"/>
          <w:sz w:val="28"/>
          <w:szCs w:val="28"/>
        </w:rPr>
        <w:t>.</w:t>
      </w:r>
      <w:r>
        <w:rPr>
          <w:rFonts w:hint="eastAsia" w:ascii="仿宋_GB2312" w:hAnsi="仿宋" w:eastAsia="仿宋_GB2312" w:cs="仿宋"/>
          <w:color w:val="000000" w:themeColor="text1"/>
          <w:sz w:val="28"/>
          <w:szCs w:val="28"/>
        </w:rPr>
        <w:t>配合属地政府根据生活垃圾产生量和分类方法，设置生活垃圾分类收集容器及分类标识，并保持分类标识清晰、完整。</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4</w:t>
      </w:r>
      <w:r>
        <w:rPr>
          <w:rFonts w:ascii="仿宋_GB2312" w:hAnsi="仿宋" w:eastAsia="仿宋_GB2312" w:cs="仿宋"/>
          <w:color w:val="000000" w:themeColor="text1"/>
          <w:sz w:val="28"/>
          <w:szCs w:val="28"/>
        </w:rPr>
        <w:t>.</w:t>
      </w:r>
      <w:r>
        <w:rPr>
          <w:rFonts w:hint="eastAsia" w:ascii="仿宋_GB2312" w:hAnsi="仿宋" w:eastAsia="仿宋_GB2312" w:cs="仿宋"/>
          <w:color w:val="000000" w:themeColor="text1"/>
          <w:sz w:val="28"/>
          <w:szCs w:val="28"/>
        </w:rPr>
        <w:t>垃圾收集容器保持干净整洁，保持生活垃圾分类收集容器完好和整洁美观，出现破旧、污损或者数量不足的，及时维修、更换、清洗或补设。</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5</w:t>
      </w:r>
      <w:r>
        <w:rPr>
          <w:rFonts w:ascii="仿宋_GB2312" w:hAnsi="仿宋" w:eastAsia="仿宋_GB2312" w:cs="仿宋"/>
          <w:color w:val="000000" w:themeColor="text1"/>
          <w:sz w:val="28"/>
          <w:szCs w:val="28"/>
        </w:rPr>
        <w:t>.</w:t>
      </w:r>
      <w:r>
        <w:rPr>
          <w:rFonts w:hint="eastAsia" w:ascii="仿宋_GB2312" w:hAnsi="仿宋" w:eastAsia="仿宋_GB2312" w:cs="仿宋"/>
          <w:color w:val="000000" w:themeColor="text1"/>
          <w:sz w:val="28"/>
          <w:szCs w:val="28"/>
        </w:rPr>
        <w:t>明确不同种类生活垃圾的投放时间、地点，分类收集、贮存生活垃圾，将生活垃圾交由有资质的单位收集分类运输，并签订生活垃圾收集运输服务合同，每日清运1次生活垃圾到指定的垃圾消纳场所，不得乱堆乱倒。</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6</w:t>
      </w:r>
      <w:r>
        <w:rPr>
          <w:rFonts w:ascii="仿宋_GB2312" w:hAnsi="仿宋" w:eastAsia="仿宋_GB2312" w:cs="仿宋"/>
          <w:color w:val="000000" w:themeColor="text1"/>
          <w:sz w:val="28"/>
          <w:szCs w:val="28"/>
        </w:rPr>
        <w:t>.</w:t>
      </w:r>
      <w:r>
        <w:rPr>
          <w:rFonts w:hint="eastAsia" w:ascii="仿宋_GB2312" w:hAnsi="仿宋" w:eastAsia="仿宋_GB2312" w:cs="仿宋"/>
          <w:color w:val="000000" w:themeColor="text1"/>
          <w:sz w:val="28"/>
          <w:szCs w:val="28"/>
        </w:rPr>
        <w:t>使用符合标准的运输工具、收集工具、运输车辆，垃圾清运车外观整洁。</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7</w:t>
      </w:r>
      <w:r>
        <w:rPr>
          <w:rFonts w:ascii="仿宋_GB2312" w:hAnsi="仿宋" w:eastAsia="仿宋_GB2312" w:cs="仿宋"/>
          <w:color w:val="000000" w:themeColor="text1"/>
          <w:sz w:val="28"/>
          <w:szCs w:val="28"/>
        </w:rPr>
        <w:t>.</w:t>
      </w:r>
      <w:r>
        <w:rPr>
          <w:rFonts w:hint="eastAsia" w:ascii="仿宋_GB2312" w:hAnsi="仿宋" w:eastAsia="仿宋_GB2312" w:cs="仿宋"/>
          <w:color w:val="000000" w:themeColor="text1"/>
          <w:sz w:val="28"/>
          <w:szCs w:val="28"/>
        </w:rPr>
        <w:t>生活垃圾分类管理责任人发现投放人不按照分类标准投放的，有权要求其改正，投放人拒不改正的，生活垃圾分类管理责任人应当向城市管理综合执法部门报告。</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8</w:t>
      </w:r>
      <w:r>
        <w:rPr>
          <w:rFonts w:ascii="仿宋_GB2312" w:hAnsi="仿宋" w:eastAsia="仿宋_GB2312" w:cs="仿宋"/>
          <w:color w:val="000000" w:themeColor="text1"/>
          <w:sz w:val="28"/>
          <w:szCs w:val="28"/>
        </w:rPr>
        <w:t>.</w:t>
      </w:r>
      <w:r>
        <w:rPr>
          <w:rFonts w:hint="eastAsia" w:ascii="仿宋_GB2312" w:hAnsi="仿宋" w:eastAsia="仿宋_GB2312" w:cs="仿宋"/>
          <w:color w:val="000000" w:themeColor="text1"/>
          <w:sz w:val="28"/>
          <w:szCs w:val="28"/>
        </w:rPr>
        <w:t>做好生活垃圾源头减量、全程分类、资源化利用工作。</w:t>
      </w:r>
    </w:p>
    <w:p>
      <w:pPr>
        <w:pStyle w:val="23"/>
        <w:shd w:val="clear" w:color="auto" w:fill="FFFFFF"/>
        <w:snapToGrid w:val="0"/>
        <w:spacing w:before="0" w:beforeAutospacing="0" w:after="0" w:afterAutospacing="0" w:line="360" w:lineRule="auto"/>
        <w:ind w:firstLine="560" w:firstLineChars="200"/>
        <w:rPr>
          <w:rFonts w:ascii="仿宋_GB2312" w:hAnsi="仿宋" w:eastAsia="仿宋_GB2312" w:cs="仿宋"/>
          <w:color w:val="000000" w:themeColor="text1"/>
          <w:kern w:val="2"/>
          <w:sz w:val="28"/>
          <w:szCs w:val="28"/>
        </w:rPr>
      </w:pPr>
      <w:r>
        <w:rPr>
          <w:rFonts w:hint="eastAsia" w:ascii="仿宋_GB2312" w:hAnsi="仿宋" w:eastAsia="仿宋_GB2312" w:cs="仿宋"/>
          <w:color w:val="000000" w:themeColor="text1"/>
          <w:sz w:val="28"/>
          <w:szCs w:val="28"/>
        </w:rPr>
        <w:t>9</w:t>
      </w:r>
      <w:r>
        <w:rPr>
          <w:rFonts w:ascii="仿宋_GB2312" w:hAnsi="仿宋" w:eastAsia="仿宋_GB2312" w:cs="仿宋"/>
          <w:color w:val="000000" w:themeColor="text1"/>
          <w:sz w:val="28"/>
          <w:szCs w:val="28"/>
        </w:rPr>
        <w:t>.</w:t>
      </w:r>
      <w:r>
        <w:rPr>
          <w:rFonts w:hint="eastAsia" w:ascii="仿宋_GB2312" w:hAnsi="仿宋" w:eastAsia="仿宋_GB2312" w:cs="仿宋"/>
          <w:color w:val="000000" w:themeColor="text1"/>
          <w:kern w:val="2"/>
          <w:sz w:val="28"/>
          <w:szCs w:val="28"/>
        </w:rPr>
        <w:t>物业服务企业应当按照规定，向所在地的街道办事处或者乡镇人民政府进行生活垃圾排放登记，并保存生活垃圾收集运输服务合同备查。生活垃圾分类管理责任人应当建立生活垃圾管理台账，记录责任范围内实际产生的生活垃圾的种类、数量、运输者、去向等情况，并定期向所在地的街道办事处或者乡镇人民政府报告。</w:t>
      </w:r>
    </w:p>
    <w:p>
      <w:pPr>
        <w:widowControl/>
        <w:shd w:val="clear" w:color="auto" w:fill="FFFFFF"/>
        <w:snapToGrid w:val="0"/>
        <w:spacing w:line="360" w:lineRule="auto"/>
        <w:ind w:firstLine="560" w:firstLineChars="200"/>
        <w:rPr>
          <w:rFonts w:ascii="仿宋_GB2312" w:hAnsi="仿宋" w:eastAsia="仿宋_GB2312" w:cs="仿宋"/>
          <w:color w:val="000000" w:themeColor="text1"/>
          <w:sz w:val="28"/>
          <w:szCs w:val="28"/>
        </w:rPr>
      </w:pPr>
      <w:bookmarkStart w:id="76" w:name="No166_Z3T41K1"/>
      <w:bookmarkEnd w:id="76"/>
      <w:bookmarkStart w:id="77" w:name="No165_Z3T41"/>
      <w:bookmarkEnd w:id="77"/>
      <w:r>
        <w:rPr>
          <w:rFonts w:hint="eastAsia" w:ascii="仿宋_GB2312" w:hAnsi="仿宋" w:eastAsia="仿宋_GB2312" w:cs="仿宋"/>
          <w:color w:val="000000" w:themeColor="text1"/>
          <w:sz w:val="28"/>
          <w:szCs w:val="28"/>
        </w:rPr>
        <w:t>1</w:t>
      </w:r>
      <w:r>
        <w:rPr>
          <w:rFonts w:ascii="仿宋_GB2312" w:hAnsi="仿宋" w:eastAsia="仿宋_GB2312" w:cs="仿宋"/>
          <w:color w:val="000000" w:themeColor="text1"/>
          <w:sz w:val="28"/>
          <w:szCs w:val="28"/>
        </w:rPr>
        <w:t>0.</w:t>
      </w:r>
      <w:r>
        <w:rPr>
          <w:rFonts w:hint="eastAsia" w:ascii="仿宋_GB2312" w:hAnsi="仿宋" w:eastAsia="仿宋_GB2312" w:cs="仿宋"/>
          <w:color w:val="000000" w:themeColor="text1"/>
          <w:sz w:val="28"/>
          <w:szCs w:val="28"/>
        </w:rPr>
        <w:t>生活垃圾收集、运输单位发现物业服务企业所交运的生活垃圾不符合分类标准的，有权要求其改正；物业服务企业拒不改正的，生活垃圾收集、运输单位应当向城市管理综合执法部门报告。</w:t>
      </w:r>
    </w:p>
    <w:p>
      <w:pPr>
        <w:pStyle w:val="47"/>
        <w:snapToGrid w:val="0"/>
        <w:spacing w:beforeLines="50" w:after="0" w:line="360" w:lineRule="auto"/>
        <w:ind w:left="0" w:leftChars="0" w:firstLine="562"/>
        <w:rPr>
          <w:rFonts w:ascii="仿宋_GB2312" w:hAnsi="仿宋" w:eastAsia="仿宋_GB2312" w:cs="仿宋"/>
          <w:b/>
          <w:color w:val="000000" w:themeColor="text1"/>
          <w:sz w:val="28"/>
          <w:szCs w:val="28"/>
        </w:rPr>
      </w:pPr>
      <w:r>
        <w:rPr>
          <w:rFonts w:hint="eastAsia" w:ascii="仿宋_GB2312" w:hAnsi="仿宋" w:eastAsia="仿宋_GB2312" w:cs="仿宋"/>
          <w:b/>
          <w:color w:val="000000" w:themeColor="text1"/>
          <w:sz w:val="28"/>
          <w:szCs w:val="28"/>
        </w:rPr>
        <w:t>根据《城市生活垃圾管理办法》：</w:t>
      </w:r>
    </w:p>
    <w:p>
      <w:pPr>
        <w:pStyle w:val="47"/>
        <w:snapToGrid w:val="0"/>
        <w:spacing w:before="156" w:after="0" w:line="360" w:lineRule="auto"/>
        <w:ind w:left="0" w:leftChars="0" w:firstLine="56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产生城市生活垃圾的单位和个人，应当按照城市人民政府确定的生活垃圾处理费收费标准和有关规定缴纳城市生活垃圾处理费。</w:t>
      </w:r>
    </w:p>
    <w:p>
      <w:pPr>
        <w:pStyle w:val="47"/>
        <w:snapToGrid w:val="0"/>
        <w:spacing w:beforeLines="50" w:after="0" w:line="360" w:lineRule="auto"/>
        <w:ind w:left="0" w:leftChars="0" w:firstLine="562"/>
        <w:rPr>
          <w:rFonts w:ascii="仿宋_GB2312" w:hAnsi="仿宋" w:eastAsia="仿宋_GB2312" w:cs="仿宋"/>
          <w:b/>
          <w:color w:val="000000" w:themeColor="text1"/>
          <w:sz w:val="28"/>
          <w:szCs w:val="28"/>
        </w:rPr>
      </w:pPr>
      <w:r>
        <w:rPr>
          <w:rFonts w:hint="eastAsia" w:ascii="仿宋_GB2312" w:hAnsi="仿宋" w:eastAsia="仿宋_GB2312" w:cs="仿宋"/>
          <w:b/>
          <w:color w:val="000000" w:themeColor="text1"/>
          <w:sz w:val="28"/>
          <w:szCs w:val="28"/>
        </w:rPr>
        <w:t>根据《北京市厨余垃圾分类质量不合格不收运管理暂行规定》，生活垃圾分类管理责任人责任如下：</w:t>
      </w:r>
    </w:p>
    <w:p>
      <w:pPr>
        <w:pStyle w:val="47"/>
        <w:snapToGrid w:val="0"/>
        <w:spacing w:before="156" w:after="0" w:line="360" w:lineRule="auto"/>
        <w:ind w:left="0" w:leftChars="0" w:firstLine="560"/>
        <w:rPr>
          <w:rFonts w:ascii="仿宋_GB2312" w:hAnsi="仿宋" w:eastAsia="仿宋_GB2312" w:cs="仿宋"/>
          <w:color w:val="000000" w:themeColor="text1"/>
          <w:sz w:val="28"/>
          <w:szCs w:val="28"/>
        </w:rPr>
      </w:pPr>
      <w:r>
        <w:rPr>
          <w:rFonts w:hint="eastAsia" w:ascii="仿宋_GB2312" w:hAnsi="仿宋" w:eastAsia="仿宋_GB2312" w:cs="仿宋"/>
          <w:bCs/>
          <w:color w:val="000000" w:themeColor="text1"/>
          <w:sz w:val="28"/>
          <w:szCs w:val="28"/>
        </w:rPr>
        <w:t>第四条</w:t>
      </w:r>
      <w:r>
        <w:rPr>
          <w:rFonts w:hint="eastAsia" w:ascii="仿宋_GB2312" w:hAnsi="仿宋" w:eastAsia="仿宋_GB2312" w:cs="仿宋"/>
          <w:color w:val="000000" w:themeColor="text1"/>
          <w:sz w:val="28"/>
          <w:szCs w:val="28"/>
        </w:rPr>
        <w:t>　产生厨余垃圾的生活垃圾分类管理责任人应当与有资质的单位签订厨余垃圾收集运输服务合同，合同文本应采用由市城市管理部门会同相关部门制定的示范文本。双方应履行合同约定，保证厨余垃圾分出质量和收集运输作业规范。</w:t>
      </w:r>
    </w:p>
    <w:p>
      <w:pPr>
        <w:pStyle w:val="47"/>
        <w:snapToGrid w:val="0"/>
        <w:spacing w:before="156" w:after="0" w:line="360" w:lineRule="auto"/>
        <w:ind w:left="0" w:leftChars="0" w:firstLine="560"/>
        <w:rPr>
          <w:rFonts w:ascii="仿宋_GB2312" w:hAnsi="仿宋" w:eastAsia="仿宋_GB2312" w:cs="仿宋"/>
          <w:color w:val="000000" w:themeColor="text1"/>
          <w:sz w:val="28"/>
          <w:szCs w:val="28"/>
        </w:rPr>
      </w:pPr>
      <w:r>
        <w:rPr>
          <w:rFonts w:hint="eastAsia" w:ascii="仿宋_GB2312" w:hAnsi="仿宋" w:eastAsia="仿宋_GB2312" w:cs="仿宋"/>
          <w:bCs/>
          <w:color w:val="000000" w:themeColor="text1"/>
          <w:sz w:val="28"/>
          <w:szCs w:val="28"/>
        </w:rPr>
        <w:t>第五条</w:t>
      </w:r>
      <w:r>
        <w:rPr>
          <w:rFonts w:hint="eastAsia" w:ascii="仿宋_GB2312" w:hAnsi="仿宋" w:eastAsia="仿宋_GB2312" w:cs="仿宋"/>
          <w:color w:val="000000" w:themeColor="text1"/>
          <w:sz w:val="28"/>
          <w:szCs w:val="28"/>
        </w:rPr>
        <w:t>　生活垃圾分类管理责任人应当建立厨余垃圾日常管理制度，根据厨余垃圾产生量规范设置分类收集容器，并做好日常维修、更换、清洗或者补设，保持容器和周边环境干净整洁。</w:t>
      </w:r>
    </w:p>
    <w:p>
      <w:pPr>
        <w:widowControl/>
        <w:shd w:val="clear" w:color="auto" w:fill="FFFFFF"/>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第六条　生活垃圾分类管理责任人应当建立厨余垃圾管理台账，记录责任范围内实际产生厨余垃圾数量、收集运输单位、去向等情况，并定期向所在地的街道办事处或者乡镇人民政府报告。</w:t>
      </w:r>
    </w:p>
    <w:p>
      <w:pPr>
        <w:widowControl/>
        <w:shd w:val="clear" w:color="auto" w:fill="FFFFFF"/>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第七条　生活垃圾分类管理责任人应当在责任范围内开展垃圾分类知识宣传，指定专人负责指导、监督单位和个人做好厨余垃圾分类，确保分出质量。厨余垃圾应从产生时就与其他品类垃圾分开，投放前沥去水分，不得混有其他类别垃圾。不得将分好的厨余垃圾混入其他垃圾。</w:t>
      </w:r>
    </w:p>
    <w:p>
      <w:pPr>
        <w:widowControl/>
        <w:shd w:val="clear" w:color="auto" w:fill="FFFFFF"/>
        <w:snapToGrid w:val="0"/>
        <w:spacing w:line="360" w:lineRule="auto"/>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　　第八条　生活垃圾分类管理责任人应当接受收集运输单位对厨余垃圾分类质量的检查，以及相关管理、执法部门对厨余垃圾分类质量的监督检查，对检查发现的问题及时改正。</w:t>
      </w:r>
    </w:p>
    <w:p>
      <w:pPr>
        <w:pStyle w:val="47"/>
        <w:snapToGrid w:val="0"/>
        <w:spacing w:beforeLines="50" w:after="0" w:line="360" w:lineRule="auto"/>
        <w:ind w:left="0" w:leftChars="0" w:firstLine="562"/>
        <w:rPr>
          <w:rFonts w:ascii="仿宋_GB2312" w:hAnsi="仿宋" w:eastAsia="仿宋_GB2312" w:cs="仿宋"/>
          <w:b/>
          <w:color w:val="000000" w:themeColor="text1"/>
          <w:sz w:val="28"/>
          <w:szCs w:val="28"/>
        </w:rPr>
      </w:pPr>
      <w:r>
        <w:rPr>
          <w:rFonts w:hint="eastAsia" w:ascii="仿宋_GB2312" w:hAnsi="仿宋" w:eastAsia="仿宋_GB2312" w:cs="仿宋"/>
          <w:b/>
          <w:color w:val="000000" w:themeColor="text1"/>
          <w:sz w:val="28"/>
          <w:szCs w:val="28"/>
        </w:rPr>
        <w:t>根据《中华人民共和国固体废物污染环境防治法》（中华人民共和国主席令31号）：</w:t>
      </w:r>
    </w:p>
    <w:p>
      <w:pPr>
        <w:widowControl/>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对城市生活垃圾应当按照环境卫生行政主管部门的规定，在指定的地点放置，不得随意倾倒、抛撒或者堆放。</w:t>
      </w:r>
    </w:p>
    <w:p>
      <w:pPr>
        <w:pStyle w:val="47"/>
        <w:snapToGrid w:val="0"/>
        <w:spacing w:beforeLines="50" w:after="0" w:line="360" w:lineRule="auto"/>
        <w:ind w:left="0" w:leftChars="0" w:firstLine="562"/>
        <w:rPr>
          <w:rFonts w:ascii="仿宋_GB2312" w:hAnsi="仿宋" w:eastAsia="仿宋_GB2312" w:cs="仿宋"/>
          <w:b/>
          <w:bCs/>
          <w:color w:val="000000" w:themeColor="text1"/>
          <w:sz w:val="28"/>
          <w:szCs w:val="32"/>
        </w:rPr>
      </w:pPr>
      <w:r>
        <w:rPr>
          <w:rFonts w:hint="eastAsia" w:ascii="仿宋_GB2312" w:hAnsi="仿宋" w:eastAsia="仿宋_GB2312" w:cs="仿宋"/>
          <w:b/>
          <w:color w:val="000000" w:themeColor="text1"/>
          <w:sz w:val="28"/>
          <w:szCs w:val="32"/>
        </w:rPr>
        <w:t>根据</w:t>
      </w:r>
      <w:r>
        <w:rPr>
          <w:rFonts w:hint="eastAsia" w:ascii="仿宋_GB2312" w:hAnsi="仿宋" w:eastAsia="仿宋_GB2312" w:cs="仿宋"/>
          <w:color w:val="000000" w:themeColor="text1"/>
          <w:sz w:val="28"/>
          <w:szCs w:val="32"/>
        </w:rPr>
        <w:t>《</w:t>
      </w:r>
      <w:r>
        <w:rPr>
          <w:rFonts w:hint="eastAsia" w:ascii="仿宋_GB2312" w:hAnsi="仿宋" w:eastAsia="仿宋_GB2312" w:cs="仿宋"/>
          <w:b/>
          <w:bCs/>
          <w:color w:val="000000" w:themeColor="text1"/>
          <w:sz w:val="28"/>
          <w:szCs w:val="32"/>
        </w:rPr>
        <w:t>城市生活垃圾管理办法》（中华人民共和国建设部令〔2007〕157号）：</w:t>
      </w:r>
    </w:p>
    <w:p>
      <w:pPr>
        <w:widowControl/>
        <w:shd w:val="clear" w:color="auto" w:fill="FFFFFF"/>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产生城市生活垃圾的单位和个人，应当按照城市人民政府确定的生活垃圾处理费收费标准和有关规定缴纳城市生活垃圾处理费。</w:t>
      </w:r>
    </w:p>
    <w:p>
      <w:pPr>
        <w:widowControl/>
        <w:shd w:val="clear" w:color="auto" w:fill="FFFFFF"/>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城市生活垃圾处理费应当专项用于城市生活垃圾收集、运输和处置，严禁挪作他用。</w:t>
      </w:r>
    </w:p>
    <w:p>
      <w:pPr>
        <w:pStyle w:val="47"/>
        <w:snapToGrid w:val="0"/>
        <w:spacing w:beforeLines="50" w:after="0" w:line="360" w:lineRule="auto"/>
        <w:ind w:left="0" w:leftChars="0" w:firstLine="562"/>
        <w:rPr>
          <w:rFonts w:ascii="仿宋_GB2312" w:hAnsi="仿宋" w:eastAsia="仿宋_GB2312" w:cs="仿宋"/>
          <w:b/>
          <w:color w:val="000000" w:themeColor="text1"/>
          <w:sz w:val="28"/>
          <w:szCs w:val="28"/>
        </w:rPr>
      </w:pPr>
      <w:r>
        <w:rPr>
          <w:rFonts w:hint="eastAsia" w:ascii="仿宋_GB2312" w:hAnsi="仿宋" w:eastAsia="仿宋_GB2312" w:cs="仿宋"/>
          <w:b/>
          <w:color w:val="000000" w:themeColor="text1"/>
          <w:sz w:val="28"/>
          <w:szCs w:val="28"/>
        </w:rPr>
        <w:t>根据《住宅物业服务标准》：</w:t>
      </w:r>
    </w:p>
    <w:p>
      <w:pPr>
        <w:widowControl/>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物业服务企业应配置密闭式垃圾收集容器，有分类标志。各类垃圾收集容器需保持干净整洁，每月至少清洗1次垃圾收集容器。每日清运1次生活垃圾到指定的垃圾消纳场所，不得乱堆乱倒。</w:t>
      </w:r>
    </w:p>
    <w:p>
      <w:pPr>
        <w:pStyle w:val="47"/>
        <w:snapToGrid w:val="0"/>
        <w:spacing w:after="0" w:line="360" w:lineRule="auto"/>
        <w:ind w:left="0" w:leftChars="0" w:firstLine="56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每月至少清洗1次垃圾收集容器，蝇、蚊孳生季节每5日喷洒1次杀虫药。（一级）</w:t>
      </w:r>
    </w:p>
    <w:p>
      <w:pPr>
        <w:widowControl/>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每月至少清洗1次垃圾收集容器，蝇、蚊孳生季节每3日喷洒1次杀虫药。（二级）</w:t>
      </w:r>
    </w:p>
    <w:p>
      <w:pPr>
        <w:widowControl/>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每2周至少清洗1次垃圾收集容器。蝇、蚊孳生季节每日喷洒1次杀虫药。（三至四级）</w:t>
      </w:r>
    </w:p>
    <w:p>
      <w:pPr>
        <w:widowControl/>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每周至少清洗1次垃圾收集容器。蝇、蚊孳生季节每日喷洒1次杀虫药。（五级）</w:t>
      </w:r>
    </w:p>
    <w:p>
      <w:pPr>
        <w:snapToGrid w:val="0"/>
        <w:spacing w:beforeLines="50" w:line="360" w:lineRule="auto"/>
        <w:ind w:firstLine="562" w:firstLineChars="200"/>
        <w:rPr>
          <w:rFonts w:ascii="仿宋_GB2312" w:hAnsi="仿宋" w:eastAsia="仿宋_GB2312" w:cs="仿宋"/>
          <w:b/>
          <w:color w:val="000000" w:themeColor="text1"/>
          <w:sz w:val="40"/>
          <w:szCs w:val="28"/>
        </w:rPr>
      </w:pPr>
      <w:r>
        <w:rPr>
          <w:rFonts w:hint="eastAsia" w:ascii="仿宋_GB2312" w:eastAsia="仿宋_GB2312"/>
          <w:b/>
          <w:color w:val="000000" w:themeColor="text1"/>
          <w:sz w:val="28"/>
        </w:rPr>
        <w:t>风险提示</w:t>
      </w:r>
    </w:p>
    <w:p>
      <w:pPr>
        <w:pStyle w:val="23"/>
        <w:shd w:val="clear" w:color="auto" w:fill="FFFFFF"/>
        <w:snapToGrid w:val="0"/>
        <w:spacing w:beforeLines="50" w:beforeAutospacing="0" w:after="0" w:afterAutospacing="0" w:line="360" w:lineRule="auto"/>
        <w:ind w:firstLine="562" w:firstLineChars="200"/>
        <w:rPr>
          <w:rFonts w:ascii="仿宋_GB2312" w:hAnsi="仿宋" w:eastAsia="仿宋_GB2312" w:cs="仿宋"/>
          <w:b/>
          <w:color w:val="000000" w:themeColor="text1"/>
          <w:kern w:val="2"/>
          <w:sz w:val="28"/>
          <w:szCs w:val="28"/>
        </w:rPr>
      </w:pPr>
      <w:r>
        <w:rPr>
          <w:rFonts w:hint="eastAsia" w:ascii="仿宋_GB2312" w:hAnsi="仿宋" w:eastAsia="仿宋_GB2312" w:cs="仿宋"/>
          <w:b/>
          <w:color w:val="000000" w:themeColor="text1"/>
          <w:kern w:val="2"/>
          <w:sz w:val="28"/>
          <w:szCs w:val="28"/>
        </w:rPr>
        <w:t>根据《北京市生活垃圾管理条例》：</w:t>
      </w:r>
    </w:p>
    <w:p>
      <w:pPr>
        <w:pStyle w:val="23"/>
        <w:shd w:val="clear" w:color="auto" w:fill="FFFFFF"/>
        <w:snapToGrid w:val="0"/>
        <w:spacing w:before="0" w:beforeAutospacing="0" w:after="0" w:afterAutospacing="0" w:line="360" w:lineRule="auto"/>
        <w:ind w:firstLine="560" w:firstLineChars="200"/>
        <w:rPr>
          <w:rFonts w:ascii="仿宋_GB2312" w:hAnsi="仿宋" w:eastAsia="仿宋_GB2312" w:cs="仿宋"/>
          <w:color w:val="000000" w:themeColor="text1"/>
          <w:kern w:val="2"/>
          <w:sz w:val="28"/>
          <w:szCs w:val="28"/>
        </w:rPr>
      </w:pPr>
      <w:r>
        <w:rPr>
          <w:rFonts w:hint="eastAsia" w:ascii="仿宋_GB2312" w:hAnsi="仿宋" w:eastAsia="仿宋_GB2312" w:cs="仿宋"/>
          <w:color w:val="000000" w:themeColor="text1"/>
          <w:kern w:val="2"/>
          <w:sz w:val="28"/>
          <w:szCs w:val="28"/>
        </w:rPr>
        <w:t>1</w:t>
      </w:r>
      <w:r>
        <w:rPr>
          <w:rFonts w:ascii="仿宋_GB2312" w:hAnsi="仿宋" w:eastAsia="仿宋_GB2312" w:cs="仿宋"/>
          <w:color w:val="000000" w:themeColor="text1"/>
          <w:kern w:val="2"/>
          <w:sz w:val="28"/>
          <w:szCs w:val="28"/>
        </w:rPr>
        <w:t>.</w:t>
      </w:r>
      <w:r>
        <w:rPr>
          <w:rFonts w:hint="eastAsia" w:ascii="仿宋_GB2312" w:hAnsi="仿宋" w:eastAsia="仿宋_GB2312" w:cs="仿宋"/>
          <w:color w:val="000000" w:themeColor="text1"/>
          <w:kern w:val="2"/>
          <w:sz w:val="28"/>
          <w:szCs w:val="28"/>
        </w:rPr>
        <w:t>物业服务企业未分类投放的，由城市管理综合执法部门责令立即改正，情节严重的，处五万元以上五十万元以下罚款。</w:t>
      </w:r>
    </w:p>
    <w:p>
      <w:pPr>
        <w:widowControl/>
        <w:shd w:val="clear" w:color="auto" w:fill="FFFFFF"/>
        <w:snapToGrid w:val="0"/>
        <w:spacing w:line="360" w:lineRule="auto"/>
        <w:ind w:firstLine="560" w:firstLineChars="200"/>
        <w:jc w:val="left"/>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2</w:t>
      </w:r>
      <w:r>
        <w:rPr>
          <w:rFonts w:ascii="仿宋_GB2312" w:hAnsi="仿宋" w:eastAsia="仿宋_GB2312" w:cs="仿宋"/>
          <w:color w:val="000000" w:themeColor="text1"/>
          <w:sz w:val="28"/>
          <w:szCs w:val="28"/>
        </w:rPr>
        <w:t>.</w:t>
      </w:r>
      <w:r>
        <w:rPr>
          <w:rFonts w:hint="eastAsia" w:ascii="仿宋_GB2312" w:hAnsi="仿宋" w:eastAsia="仿宋_GB2312" w:cs="仿宋"/>
          <w:color w:val="000000" w:themeColor="text1"/>
          <w:sz w:val="28"/>
          <w:szCs w:val="28"/>
        </w:rPr>
        <w:t>物业服务企业违反本条例第三十五条第一款第（一）项、第（二）项、第（三）项、第（四）项、第（六）项规定的，由城市管理综合执法部门责令立即改正，处3000元以上3万元以下罚款。</w:t>
      </w:r>
    </w:p>
    <w:p>
      <w:pPr>
        <w:widowControl/>
        <w:shd w:val="clear" w:color="auto" w:fill="FFFFFF"/>
        <w:snapToGrid w:val="0"/>
        <w:spacing w:line="360" w:lineRule="auto"/>
        <w:ind w:firstLine="560" w:firstLineChars="200"/>
        <w:jc w:val="left"/>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物业服务企业将生活垃圾交由未经许可或者备案的企业和个人进行处置的，由城市管理综合执法部门责令立即改正，处1万元以上10万元以下罚款。</w:t>
      </w:r>
    </w:p>
    <w:p>
      <w:pPr>
        <w:widowControl/>
        <w:shd w:val="clear" w:color="auto" w:fill="FFFFFF"/>
        <w:snapToGrid w:val="0"/>
        <w:spacing w:line="360" w:lineRule="auto"/>
        <w:ind w:firstLine="560" w:firstLineChars="200"/>
        <w:jc w:val="left"/>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3</w:t>
      </w:r>
      <w:r>
        <w:rPr>
          <w:rFonts w:ascii="仿宋_GB2312" w:hAnsi="仿宋" w:eastAsia="仿宋_GB2312" w:cs="仿宋"/>
          <w:color w:val="000000" w:themeColor="text1"/>
          <w:sz w:val="28"/>
          <w:szCs w:val="28"/>
        </w:rPr>
        <w:t>.</w:t>
      </w:r>
      <w:r>
        <w:rPr>
          <w:rFonts w:hint="eastAsia" w:ascii="仿宋_GB2312" w:hAnsi="仿宋" w:eastAsia="仿宋_GB2312" w:cs="仿宋"/>
          <w:color w:val="000000" w:themeColor="text1"/>
          <w:sz w:val="28"/>
          <w:szCs w:val="28"/>
        </w:rPr>
        <w:t>物业服务企业未办理生活垃圾排放登记或者登记信息虚假的，由城市管理综合执法部门责令立即改正，处1000元以上5000元以下罚款。</w:t>
      </w:r>
    </w:p>
    <w:p>
      <w:pPr>
        <w:widowControl/>
        <w:shd w:val="clear" w:color="auto" w:fill="FFFFFF"/>
        <w:snapToGrid w:val="0"/>
        <w:spacing w:line="360" w:lineRule="auto"/>
        <w:ind w:firstLine="560" w:firstLineChars="200"/>
        <w:jc w:val="left"/>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物业服务企业未建立生活垃圾管理台账，或者不如实记录责任范围内生活垃圾排放情况的，由城市管理综合执法部门责令立即改正，处1000元以上1万元以下罚款。</w:t>
      </w:r>
    </w:p>
    <w:p>
      <w:pPr>
        <w:pStyle w:val="47"/>
        <w:snapToGrid w:val="0"/>
        <w:spacing w:beforeLines="50" w:after="0" w:line="360" w:lineRule="auto"/>
        <w:ind w:left="0" w:leftChars="0" w:firstLine="562"/>
        <w:rPr>
          <w:rFonts w:ascii="仿宋_GB2312" w:hAnsi="仿宋" w:eastAsia="仿宋_GB2312" w:cs="仿宋"/>
          <w:b/>
          <w:color w:val="000000" w:themeColor="text1"/>
          <w:sz w:val="28"/>
          <w:szCs w:val="28"/>
        </w:rPr>
      </w:pPr>
      <w:r>
        <w:rPr>
          <w:rFonts w:hint="eastAsia" w:ascii="仿宋_GB2312" w:hAnsi="仿宋" w:eastAsia="仿宋_GB2312" w:cs="仿宋"/>
          <w:b/>
          <w:color w:val="000000" w:themeColor="text1"/>
          <w:sz w:val="28"/>
          <w:szCs w:val="28"/>
        </w:rPr>
        <w:t>根据《北京市厨余垃圾分类质量不合格不收运管理暂行规定》：</w:t>
      </w:r>
    </w:p>
    <w:p>
      <w:pPr>
        <w:widowControl/>
        <w:shd w:val="clear" w:color="auto" w:fill="FFFFFF"/>
        <w:snapToGrid w:val="0"/>
        <w:spacing w:line="360" w:lineRule="auto"/>
        <w:ind w:firstLine="560" w:firstLineChars="200"/>
        <w:jc w:val="left"/>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收集运输单位发现拟交付的厨余垃圾分类质量不合格的，应当主动与生活垃圾分类管理责任人联系，要求生活垃圾分类管理责任人改正。</w:t>
      </w:r>
    </w:p>
    <w:p>
      <w:pPr>
        <w:widowControl/>
        <w:shd w:val="clear" w:color="auto" w:fill="FFFFFF"/>
        <w:snapToGrid w:val="0"/>
        <w:spacing w:line="360" w:lineRule="auto"/>
        <w:ind w:firstLine="560" w:firstLineChars="200"/>
        <w:jc w:val="left"/>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（一）生活垃圾分类管理责任人现场改正合格的，应当予以收运。拒不改正的，收集运输单位应当向街道办事处和乡镇人民政府或城市管理综合行政执法部门举报。</w:t>
      </w:r>
    </w:p>
    <w:p>
      <w:pPr>
        <w:widowControl/>
        <w:shd w:val="clear" w:color="auto" w:fill="FFFFFF"/>
        <w:snapToGrid w:val="0"/>
        <w:spacing w:line="360" w:lineRule="auto"/>
        <w:ind w:firstLine="560" w:firstLineChars="200"/>
        <w:jc w:val="left"/>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二）生活垃圾分类管理责任人不能及时改正的，收集运输单位应当在交付点或垃圾桶盖上张贴《厨余垃圾分类质量不合格不收运告知单》（见附件），注明改正要求和改正期限，拍照留证，并告知生活垃圾分类管理责任人改正。改正期限一般不超过3天。改正期限内，对分类质量不合格的厨余垃圾暂不收运；生活垃圾分类管理责任人采取改正措施，经收集运输单位确认分类质量合格的，恢复收集运输服务。</w:t>
      </w:r>
    </w:p>
    <w:p>
      <w:pPr>
        <w:widowControl/>
        <w:shd w:val="clear" w:color="auto" w:fill="FFFFFF"/>
        <w:snapToGrid w:val="0"/>
        <w:spacing w:line="360" w:lineRule="auto"/>
        <w:ind w:firstLine="560" w:firstLineChars="200"/>
        <w:jc w:val="left"/>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生活垃圾分类管理责任人有特殊情况的，由双方协商解决。</w:t>
      </w:r>
    </w:p>
    <w:p>
      <w:pPr>
        <w:pStyle w:val="47"/>
        <w:snapToGrid w:val="0"/>
        <w:spacing w:beforeLines="50" w:after="0" w:line="360" w:lineRule="auto"/>
        <w:ind w:left="0" w:leftChars="0" w:firstLine="562"/>
        <w:rPr>
          <w:rFonts w:ascii="仿宋_GB2312" w:hAnsi="仿宋" w:eastAsia="仿宋_GB2312" w:cs="仿宋"/>
          <w:b/>
          <w:color w:val="000000" w:themeColor="text1"/>
          <w:sz w:val="28"/>
          <w:szCs w:val="28"/>
        </w:rPr>
      </w:pPr>
      <w:r>
        <w:rPr>
          <w:rFonts w:hint="eastAsia" w:ascii="仿宋_GB2312" w:hAnsi="仿宋" w:eastAsia="仿宋_GB2312" w:cs="仿宋"/>
          <w:b/>
          <w:color w:val="000000" w:themeColor="text1"/>
          <w:sz w:val="28"/>
          <w:szCs w:val="28"/>
        </w:rPr>
        <w:t>3.根据《中华人民共和国固体废物污染环境防治法》：</w:t>
      </w:r>
    </w:p>
    <w:p>
      <w:pPr>
        <w:widowControl/>
        <w:shd w:val="clear" w:color="auto" w:fill="FFFFFF"/>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违反本法有关城市生活垃圾污染环境防治的规定，随意倾倒、抛撒或者堆放生活垃圾的，由县级以上地方人民政府环境卫生行政主管部门责令停止违法行为，限期改正，处五千元以上五万元以下的罚款，个人处二百元以下的罚款。</w:t>
      </w:r>
    </w:p>
    <w:p>
      <w:pPr>
        <w:widowControl/>
        <w:snapToGrid w:val="0"/>
        <w:spacing w:line="360" w:lineRule="auto"/>
        <w:jc w:val="left"/>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br w:type="page"/>
      </w:r>
    </w:p>
    <w:p>
      <w:pPr>
        <w:pStyle w:val="4"/>
        <w:numPr>
          <w:ilvl w:val="0"/>
          <w:numId w:val="4"/>
        </w:numPr>
        <w:snapToGrid w:val="0"/>
        <w:spacing w:before="312" w:after="312"/>
        <w:ind w:firstLineChars="0"/>
        <w:rPr>
          <w:color w:val="000000" w:themeColor="text1"/>
        </w:rPr>
      </w:pPr>
      <w:bookmarkStart w:id="78" w:name="_Toc150435246"/>
      <w:r>
        <w:rPr>
          <w:rFonts w:hint="eastAsia"/>
          <w:color w:val="000000" w:themeColor="text1"/>
          <w:lang w:eastAsia="zh-CN"/>
        </w:rPr>
        <w:t>建筑</w:t>
      </w:r>
      <w:r>
        <w:rPr>
          <w:rFonts w:hint="eastAsia"/>
          <w:color w:val="000000" w:themeColor="text1"/>
        </w:rPr>
        <w:t>垃圾的收集管理</w:t>
      </w:r>
      <w:bookmarkEnd w:id="78"/>
    </w:p>
    <w:p>
      <w:pPr>
        <w:snapToGrid w:val="0"/>
        <w:spacing w:line="360" w:lineRule="auto"/>
        <w:ind w:left="560"/>
        <w:rPr>
          <w:rFonts w:ascii="仿宋_GB2312" w:hAnsi="仿宋" w:eastAsia="仿宋_GB2312" w:cs="仿宋"/>
          <w:b/>
          <w:color w:val="000000" w:themeColor="text1"/>
          <w:sz w:val="28"/>
          <w:szCs w:val="32"/>
        </w:rPr>
      </w:pPr>
      <w:r>
        <w:rPr>
          <w:rFonts w:hint="eastAsia" w:ascii="仿宋_GB2312" w:hAnsi="仿宋" w:eastAsia="仿宋_GB2312" w:cs="仿宋"/>
          <w:b/>
          <w:color w:val="000000" w:themeColor="text1"/>
          <w:sz w:val="28"/>
          <w:szCs w:val="32"/>
        </w:rPr>
        <w:t>根据《城市建筑垃圾管理规定》：</w:t>
      </w:r>
    </w:p>
    <w:p>
      <w:pPr>
        <w:widowControl/>
        <w:shd w:val="clear" w:color="auto" w:fill="FFFFFF"/>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第九条　任何单位和个人不得将建筑垃圾混入生活垃圾，不得将危险废物混入建筑垃圾，不得擅自设立弃置场受纳建筑垃圾。</w:t>
      </w:r>
    </w:p>
    <w:p>
      <w:pPr>
        <w:widowControl/>
        <w:shd w:val="clear" w:color="auto" w:fill="FFFFFF"/>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第十一条　居民应当将装饰装修房屋过程中产生的建筑垃圾与生活垃圾分别收集，并堆放到指定地点。建筑垃圾中转站的设置应当方便居民。</w:t>
      </w:r>
    </w:p>
    <w:p>
      <w:pPr>
        <w:pStyle w:val="47"/>
        <w:snapToGrid w:val="0"/>
        <w:spacing w:after="0" w:line="360" w:lineRule="auto"/>
        <w:ind w:left="0" w:leftChars="0" w:firstLine="56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第十二条　施工单位应当及时清运工程施工过程中产生的建筑垃圾，并按照城市人民政府市容环境卫生主管部门的规定处置，防止污染环境。</w:t>
      </w:r>
    </w:p>
    <w:p>
      <w:pPr>
        <w:widowControl/>
        <w:shd w:val="clear" w:color="auto" w:fill="FFFFFF"/>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第十三条　不得将建筑垃圾交给个人或者未经核准从事建筑垃圾运输的单位运输。</w:t>
      </w:r>
    </w:p>
    <w:p>
      <w:pPr>
        <w:widowControl/>
        <w:shd w:val="clear" w:color="auto" w:fill="FFFFFF"/>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第十五条　任何单位和个人不得随意倾倒、抛撒或者堆放建筑垃圾。</w:t>
      </w:r>
    </w:p>
    <w:p>
      <w:pPr>
        <w:snapToGrid w:val="0"/>
        <w:spacing w:line="360" w:lineRule="auto"/>
        <w:ind w:firstLine="562" w:firstLineChars="200"/>
        <w:rPr>
          <w:rFonts w:ascii="仿宋_GB2312" w:hAnsi="仿宋" w:eastAsia="仿宋_GB2312" w:cs="仿宋"/>
          <w:b/>
          <w:color w:val="000000" w:themeColor="text1"/>
          <w:sz w:val="40"/>
          <w:szCs w:val="28"/>
        </w:rPr>
      </w:pPr>
      <w:r>
        <w:rPr>
          <w:rFonts w:hint="eastAsia" w:ascii="仿宋_GB2312" w:eastAsia="仿宋_GB2312"/>
          <w:b/>
          <w:color w:val="000000" w:themeColor="text1"/>
          <w:sz w:val="28"/>
        </w:rPr>
        <w:t>风险提示</w:t>
      </w:r>
    </w:p>
    <w:p>
      <w:pPr>
        <w:snapToGrid w:val="0"/>
        <w:spacing w:line="360" w:lineRule="auto"/>
        <w:ind w:left="560"/>
        <w:rPr>
          <w:rFonts w:ascii="仿宋_GB2312" w:hAnsi="仿宋" w:eastAsia="仿宋_GB2312" w:cs="仿宋"/>
          <w:b/>
          <w:color w:val="000000" w:themeColor="text1"/>
          <w:sz w:val="28"/>
          <w:szCs w:val="32"/>
        </w:rPr>
      </w:pPr>
      <w:r>
        <w:rPr>
          <w:rFonts w:hint="eastAsia" w:ascii="仿宋_GB2312" w:hAnsi="仿宋" w:eastAsia="仿宋_GB2312" w:cs="仿宋"/>
          <w:b/>
          <w:color w:val="000000" w:themeColor="text1"/>
          <w:sz w:val="28"/>
          <w:szCs w:val="32"/>
        </w:rPr>
        <w:t>根据《城市建筑垃圾管理规定》：</w:t>
      </w:r>
    </w:p>
    <w:p>
      <w:pPr>
        <w:widowControl/>
        <w:shd w:val="clear" w:color="auto" w:fill="FFFFFF"/>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第二十条　任何单位和个人有下列情形之一的，由城市人民政府市容环境卫生主管部门责令限期改正，给予警告，处以罚款：</w:t>
      </w:r>
    </w:p>
    <w:p>
      <w:pPr>
        <w:widowControl/>
        <w:shd w:val="clear" w:color="auto" w:fill="FFFFFF"/>
        <w:snapToGrid w:val="0"/>
        <w:spacing w:line="360" w:lineRule="auto"/>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　　（一）将建筑垃圾混入生活垃圾的；</w:t>
      </w:r>
    </w:p>
    <w:p>
      <w:pPr>
        <w:widowControl/>
        <w:shd w:val="clear" w:color="auto" w:fill="FFFFFF"/>
        <w:snapToGrid w:val="0"/>
        <w:spacing w:line="360" w:lineRule="auto"/>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　　（二）将危险废物混入建筑垃圾的；</w:t>
      </w:r>
    </w:p>
    <w:p>
      <w:pPr>
        <w:widowControl/>
        <w:shd w:val="clear" w:color="auto" w:fill="FFFFFF"/>
        <w:snapToGrid w:val="0"/>
        <w:spacing w:line="360" w:lineRule="auto"/>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　　（三）擅自设立弃置场受纳建筑垃圾的；</w:t>
      </w:r>
    </w:p>
    <w:p>
      <w:pPr>
        <w:widowControl/>
        <w:shd w:val="clear" w:color="auto" w:fill="FFFFFF"/>
        <w:snapToGrid w:val="0"/>
        <w:spacing w:line="360" w:lineRule="auto"/>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　　单位有前款第一项、第二项行为之一的，处300O元以下罚款；有前款第三项行为的，处5000元以上1万元以下罚款。个人有前款第一项、第二项行为之一的，处20O元以下罚款；有前款第三项行为的，处3000元以下罚款。</w:t>
      </w:r>
    </w:p>
    <w:p>
      <w:pPr>
        <w:widowControl/>
        <w:shd w:val="clear" w:color="auto" w:fill="FFFFFF"/>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第二十二条　将建筑垃圾交给个人或者未经核准从事建筑垃圾运输的单位处置的，由城市人民政府市容环境卫生主管部门责令限期改正，给予警告，处1万元以上10万元以下罚款。</w:t>
      </w:r>
    </w:p>
    <w:p>
      <w:pPr>
        <w:pStyle w:val="47"/>
        <w:snapToGrid w:val="0"/>
        <w:spacing w:after="0" w:line="360" w:lineRule="auto"/>
        <w:ind w:left="0" w:leftChars="0" w:firstLine="56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第二十六条　任何单位和个人随意倾倒、抛撒或者堆放建筑垃圾的，由城市人民政府市容环境卫生主管部门责令限期改正，给予警告，并对单位处5000元以上5万元以下罚款，对个人处200元以下罚款。</w:t>
      </w:r>
    </w:p>
    <w:p>
      <w:pPr>
        <w:widowControl/>
        <w:snapToGrid w:val="0"/>
        <w:spacing w:line="360" w:lineRule="auto"/>
        <w:jc w:val="left"/>
        <w:rPr>
          <w:rFonts w:ascii="仿宋_GB2312" w:hAnsi="Arial" w:eastAsia="仿宋_GB2312"/>
          <w:b/>
          <w:color w:val="000000" w:themeColor="text1"/>
          <w:sz w:val="32"/>
        </w:rPr>
      </w:pPr>
      <w:r>
        <w:rPr>
          <w:rFonts w:hint="eastAsia" w:ascii="仿宋_GB2312" w:eastAsia="仿宋_GB2312"/>
          <w:color w:val="000000" w:themeColor="text1"/>
        </w:rPr>
        <w:br w:type="page"/>
      </w:r>
    </w:p>
    <w:p>
      <w:pPr>
        <w:pStyle w:val="4"/>
        <w:snapToGrid w:val="0"/>
        <w:spacing w:before="312" w:after="312"/>
        <w:rPr>
          <w:color w:val="000000" w:themeColor="text1"/>
        </w:rPr>
      </w:pPr>
      <w:bookmarkStart w:id="79" w:name="_Toc150435247"/>
      <w:r>
        <w:rPr>
          <w:rFonts w:hint="eastAsia"/>
          <w:color w:val="000000" w:themeColor="text1"/>
        </w:rPr>
        <w:t>（三）市容环境卫生</w:t>
      </w:r>
      <w:bookmarkEnd w:id="79"/>
    </w:p>
    <w:p>
      <w:pPr>
        <w:snapToGrid w:val="0"/>
        <w:spacing w:line="360" w:lineRule="auto"/>
        <w:ind w:firstLine="562" w:firstLineChars="200"/>
        <w:rPr>
          <w:rFonts w:ascii="仿宋_GB2312" w:hAnsi="仿宋" w:eastAsia="仿宋_GB2312" w:cs="仿宋"/>
          <w:b/>
          <w:color w:val="000000" w:themeColor="text1"/>
          <w:sz w:val="28"/>
          <w:szCs w:val="28"/>
        </w:rPr>
      </w:pPr>
      <w:r>
        <w:rPr>
          <w:rFonts w:hint="eastAsia" w:ascii="仿宋_GB2312" w:hAnsi="仿宋" w:eastAsia="仿宋_GB2312" w:cs="仿宋"/>
          <w:b/>
          <w:color w:val="000000" w:themeColor="text1"/>
          <w:sz w:val="28"/>
          <w:szCs w:val="28"/>
        </w:rPr>
        <w:t>根据《北京市市容环境卫生条例》：</w:t>
      </w:r>
    </w:p>
    <w:p>
      <w:pPr>
        <w:widowControl/>
        <w:shd w:val="clear" w:color="auto" w:fill="FFFFFF"/>
        <w:snapToGrid w:val="0"/>
        <w:spacing w:line="360" w:lineRule="auto"/>
        <w:ind w:firstLine="560" w:firstLineChars="200"/>
        <w:jc w:val="left"/>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（1）市容环境卫生责任人，实行物业管理的，由物业管理单位负责。居民应当按照规定交纳保洁费用。</w:t>
      </w:r>
    </w:p>
    <w:p>
      <w:pPr>
        <w:widowControl/>
        <w:shd w:val="clear" w:color="auto" w:fill="FFFFFF"/>
        <w:snapToGrid w:val="0"/>
        <w:spacing w:line="360" w:lineRule="auto"/>
        <w:ind w:firstLine="560" w:firstLineChars="200"/>
        <w:jc w:val="left"/>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2）保持市容整洁，无乱设摊、乱搭建、乱张贴、乱涂写、乱刻画、乱吊挂、乱堆放等行为；保持环境卫生整洁，无暴露垃圾、粪便、污水，无污迹，无渣土，按照规定扫雪铲冰；保持环境卫生设施的整洁、完好。</w:t>
      </w:r>
    </w:p>
    <w:p>
      <w:pPr>
        <w:widowControl/>
        <w:shd w:val="clear" w:color="auto" w:fill="FFFFFF"/>
        <w:snapToGrid w:val="0"/>
        <w:spacing w:line="360" w:lineRule="auto"/>
        <w:ind w:firstLine="560" w:firstLineChars="200"/>
        <w:jc w:val="left"/>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（3）牌匾标识的设置应当牢固安全、整洁美观，照明和显亮设施功能完好，不断亮、不残损。</w:t>
      </w:r>
    </w:p>
    <w:p>
      <w:pPr>
        <w:widowControl/>
        <w:shd w:val="clear" w:color="auto" w:fill="FFFFFF"/>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（4）禁止在城市道路及其他公共场所的护栏、电线杆、树木、绿篱等处晾晒衣物或者吊挂物品。</w:t>
      </w:r>
    </w:p>
    <w:p>
      <w:pPr>
        <w:widowControl/>
        <w:shd w:val="clear" w:color="auto" w:fill="FFFFFF"/>
        <w:snapToGrid w:val="0"/>
        <w:spacing w:line="360" w:lineRule="auto"/>
        <w:ind w:firstLine="560" w:firstLineChars="200"/>
        <w:jc w:val="left"/>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（5）任何人不得擅自在公共场所散发、悬挂、张贴宣传品、广告，不得在建筑物、构筑物等处刻画、涂写、喷涂标语及宣传品、广告。</w:t>
      </w:r>
    </w:p>
    <w:p>
      <w:pPr>
        <w:widowControl/>
        <w:shd w:val="clear" w:color="auto" w:fill="FFFFFF"/>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（6）加强夜景照明和路灯照明设施的维护管理，做到整洁美观、使用安全，并达到规定的标准和要求。</w:t>
      </w:r>
    </w:p>
    <w:p>
      <w:pPr>
        <w:snapToGrid w:val="0"/>
        <w:spacing w:line="360" w:lineRule="auto"/>
        <w:ind w:firstLine="562" w:firstLineChars="200"/>
        <w:rPr>
          <w:rFonts w:ascii="仿宋_GB2312" w:hAnsi="仿宋" w:eastAsia="仿宋_GB2312" w:cs="仿宋"/>
          <w:b/>
          <w:color w:val="000000" w:themeColor="text1"/>
          <w:sz w:val="40"/>
          <w:szCs w:val="28"/>
        </w:rPr>
      </w:pPr>
      <w:r>
        <w:rPr>
          <w:rFonts w:hint="eastAsia" w:ascii="仿宋_GB2312" w:eastAsia="仿宋_GB2312"/>
          <w:b/>
          <w:color w:val="000000" w:themeColor="text1"/>
          <w:sz w:val="28"/>
        </w:rPr>
        <w:t>风险提示</w:t>
      </w:r>
    </w:p>
    <w:p>
      <w:pPr>
        <w:snapToGrid w:val="0"/>
        <w:spacing w:line="360" w:lineRule="auto"/>
        <w:ind w:firstLine="562" w:firstLineChars="200"/>
        <w:rPr>
          <w:rFonts w:ascii="仿宋_GB2312" w:hAnsi="仿宋" w:eastAsia="仿宋_GB2312" w:cs="仿宋"/>
          <w:b/>
          <w:color w:val="000000" w:themeColor="text1"/>
          <w:sz w:val="28"/>
          <w:szCs w:val="28"/>
        </w:rPr>
      </w:pPr>
      <w:r>
        <w:rPr>
          <w:rFonts w:hint="eastAsia" w:ascii="仿宋_GB2312" w:hAnsi="仿宋" w:eastAsia="仿宋_GB2312" w:cs="仿宋"/>
          <w:b/>
          <w:color w:val="000000" w:themeColor="text1"/>
          <w:sz w:val="28"/>
          <w:szCs w:val="28"/>
        </w:rPr>
        <w:t>根据《北京市市容环境卫生条例》：</w:t>
      </w:r>
    </w:p>
    <w:p>
      <w:pPr>
        <w:widowControl/>
        <w:shd w:val="clear" w:color="auto" w:fill="FFFFFF"/>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第二十六条　建筑物、构筑物的容貌应当符合以下规定：</w:t>
      </w:r>
    </w:p>
    <w:p>
      <w:pPr>
        <w:widowControl/>
        <w:shd w:val="clear" w:color="auto" w:fill="FFFFFF"/>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（三）不得擅自在临街的建筑物上插挂彩旗、加装灯饰以及其他装饰物。</w:t>
      </w:r>
    </w:p>
    <w:p>
      <w:pPr>
        <w:widowControl/>
        <w:shd w:val="clear" w:color="auto" w:fill="FFFFFF"/>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（四）建筑物、构筑物外立面应当保持整洁和完好，并按照本市有关规定定期粉刷、修饰。</w:t>
      </w:r>
    </w:p>
    <w:p>
      <w:pPr>
        <w:widowControl/>
        <w:shd w:val="clear" w:color="auto" w:fill="FFFFFF"/>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五）建筑物顶部、外走廊等应当保持整洁、无堆物堆料；主要街道两侧和重点地区的建筑物的顶部、阳台外和窗外不得设置不符合容貌景观标准的设施，不得吊挂、晾晒和摆放物品，平台、阳台内堆放的物品不得超出护栏的高度，并保持整洁。主要街道和重点地区的范围由市人民政府确定并公布。</w:t>
      </w:r>
    </w:p>
    <w:p>
      <w:pPr>
        <w:widowControl/>
        <w:shd w:val="clear" w:color="auto" w:fill="FFFFFF"/>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违反前款第（三）项、第（五）项规定的，责令限期改正；逾期不改正的，强制拆除或者清除，并可处五十元以上五百元以下罚款。违反前款第（四）项规定的，由区人民政府责令限期改正；逾期不改正的，委托专业企业按照规定代为粉刷、修饰，所需费用由责任人承担；对不支付费用的，可以依法申请人民法院执行。</w:t>
      </w:r>
    </w:p>
    <w:p>
      <w:pPr>
        <w:widowControl/>
        <w:shd w:val="clear" w:color="auto" w:fill="FFFFFF"/>
        <w:snapToGrid w:val="0"/>
        <w:spacing w:line="360" w:lineRule="auto"/>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　　第四十四条　夜景照明和路灯照明的设置单位或者管理单位应当按照规定开闭夜景照明和路灯照明设施。违反规定的，责令限期改正；逾期不改正的，可处五百元以上一千元以下罚款。</w:t>
      </w:r>
    </w:p>
    <w:p>
      <w:pPr>
        <w:widowControl/>
        <w:shd w:val="clear" w:color="auto" w:fill="FFFFFF"/>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第四十七条　维修、清疏排水管道、沟渠，维修、更换路灯、电线杆及其他公共设施所产生的废弃物，作业单位应当按照规定及时清除，不得乱堆乱放。违反规定的，责令限期清理，并可处五百元以上五千元以下罚款。</w:t>
      </w:r>
    </w:p>
    <w:p>
      <w:pPr>
        <w:widowControl/>
        <w:shd w:val="clear" w:color="auto" w:fill="FFFFFF"/>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第五十条　不得占用道路、绿地等公共场所从事车辆清洗、维修等业务。进行车辆清洗、维修的，应当保持场所整洁，采取措施防止污水流溢、废弃物向外散落。</w:t>
      </w:r>
    </w:p>
    <w:p>
      <w:pPr>
        <w:widowControl/>
        <w:shd w:val="clear" w:color="auto" w:fill="FFFFFF"/>
        <w:snapToGrid w:val="0"/>
        <w:spacing w:line="360" w:lineRule="auto"/>
        <w:ind w:firstLine="560" w:firstLineChars="200"/>
        <w:jc w:val="left"/>
        <w:rPr>
          <w:rFonts w:ascii="仿宋_GB2312" w:eastAsia="仿宋_GB2312"/>
          <w:color w:val="000000" w:themeColor="text1"/>
        </w:rPr>
      </w:pPr>
      <w:r>
        <w:rPr>
          <w:rFonts w:hint="eastAsia" w:ascii="仿宋_GB2312" w:hAnsi="仿宋" w:eastAsia="仿宋_GB2312" w:cs="仿宋"/>
          <w:color w:val="000000" w:themeColor="text1"/>
          <w:sz w:val="28"/>
          <w:szCs w:val="32"/>
        </w:rPr>
        <w:t>第五十三条　禁止在城镇地区饲养鸡、鸭、鹅、兔、羊、猪等家禽家畜；禁止在居民住宅楼房的顶部、阳台外和窗外搭建鸽舍。影响市容环境卫生的，责令限期改正，并处五十元以上五百元以下罚款；严重影响市容环境卫生和周围居民正常生活的，可以责令拆除鸽舍。</w:t>
      </w:r>
    </w:p>
    <w:p>
      <w:pPr>
        <w:widowControl/>
        <w:snapToGrid w:val="0"/>
        <w:jc w:val="left"/>
        <w:rPr>
          <w:rFonts w:ascii="仿宋_GB2312" w:hAnsi="Arial" w:eastAsia="仿宋_GB2312"/>
          <w:b/>
          <w:color w:val="000000" w:themeColor="text1"/>
          <w:sz w:val="32"/>
          <w:szCs w:val="32"/>
        </w:rPr>
      </w:pPr>
      <w:r>
        <w:rPr>
          <w:rFonts w:hint="eastAsia" w:ascii="仿宋_GB2312" w:eastAsia="仿宋_GB2312"/>
          <w:color w:val="000000" w:themeColor="text1"/>
        </w:rPr>
        <w:br w:type="page"/>
      </w:r>
    </w:p>
    <w:p>
      <w:pPr>
        <w:pStyle w:val="4"/>
        <w:snapToGrid w:val="0"/>
        <w:spacing w:before="312" w:after="312"/>
        <w:rPr>
          <w:color w:val="000000" w:themeColor="text1"/>
        </w:rPr>
      </w:pPr>
      <w:bookmarkStart w:id="80" w:name="_Toc150435248"/>
      <w:r>
        <w:rPr>
          <w:rFonts w:hint="eastAsia"/>
          <w:color w:val="000000" w:themeColor="text1"/>
        </w:rPr>
        <w:t>（四）灭四害</w:t>
      </w:r>
      <w:bookmarkEnd w:id="80"/>
    </w:p>
    <w:p>
      <w:pPr>
        <w:pStyle w:val="47"/>
        <w:snapToGrid w:val="0"/>
        <w:spacing w:before="156" w:after="0" w:line="360" w:lineRule="auto"/>
        <w:ind w:left="0" w:leftChars="0" w:firstLine="562"/>
        <w:rPr>
          <w:rFonts w:ascii="仿宋_GB2312" w:hAnsi="仿宋" w:eastAsia="仿宋_GB2312" w:cs="仿宋"/>
          <w:b/>
          <w:color w:val="000000" w:themeColor="text1"/>
          <w:sz w:val="28"/>
          <w:szCs w:val="28"/>
        </w:rPr>
      </w:pPr>
      <w:r>
        <w:rPr>
          <w:rFonts w:hint="eastAsia" w:ascii="仿宋_GB2312" w:hAnsi="仿宋" w:eastAsia="仿宋_GB2312" w:cs="仿宋"/>
          <w:b/>
          <w:color w:val="000000" w:themeColor="text1"/>
          <w:sz w:val="28"/>
          <w:szCs w:val="28"/>
        </w:rPr>
        <w:t>根据《北京市除四害工作管理规定》：</w:t>
      </w:r>
    </w:p>
    <w:p>
      <w:pPr>
        <w:pStyle w:val="47"/>
        <w:snapToGrid w:val="0"/>
        <w:spacing w:after="0" w:line="360" w:lineRule="auto"/>
        <w:ind w:left="0" w:leftChars="0" w:firstLine="56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第八条</w:t>
      </w:r>
      <w:r>
        <w:rPr>
          <w:rFonts w:hint="eastAsia" w:ascii="仿宋_GB2312" w:hAnsi="仿宋" w:eastAsia="仿宋_GB2312" w:cs="仿宋"/>
          <w:color w:val="000000" w:themeColor="text1"/>
          <w:sz w:val="28"/>
          <w:szCs w:val="32"/>
        </w:rPr>
        <w:t>　</w:t>
      </w:r>
      <w:r>
        <w:rPr>
          <w:rFonts w:hint="eastAsia" w:ascii="仿宋_GB2312" w:hAnsi="仿宋" w:eastAsia="仿宋_GB2312" w:cs="仿宋"/>
          <w:color w:val="000000" w:themeColor="text1"/>
          <w:sz w:val="28"/>
          <w:szCs w:val="28"/>
        </w:rPr>
        <w:t>单位和住户应当采取清除鼠迹、堵塞鼠洞、添设防范设施等措施及毒杀、诱捕等方法消灭老鼠，使鼠密度等指标符合国家控制标准。</w:t>
      </w:r>
    </w:p>
    <w:p>
      <w:pPr>
        <w:widowControl/>
        <w:shd w:val="clear" w:color="auto" w:fill="FFFFFF"/>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第九条</w:t>
      </w:r>
      <w:r>
        <w:rPr>
          <w:rFonts w:hint="eastAsia" w:ascii="仿宋_GB2312" w:hAnsi="仿宋" w:eastAsia="仿宋_GB2312" w:cs="仿宋"/>
          <w:color w:val="000000" w:themeColor="text1"/>
          <w:sz w:val="28"/>
          <w:szCs w:val="32"/>
        </w:rPr>
        <w:t>　</w:t>
      </w:r>
      <w:r>
        <w:rPr>
          <w:rFonts w:hint="eastAsia" w:ascii="仿宋_GB2312" w:hAnsi="仿宋" w:eastAsia="仿宋_GB2312" w:cs="仿宋"/>
          <w:color w:val="000000" w:themeColor="text1"/>
          <w:sz w:val="28"/>
          <w:szCs w:val="28"/>
        </w:rPr>
        <w:t>单位和住户必须按照下列规定清除蚊蝇孳生地并运用化学、物理、生物等方法消灭蚊蝇及其幼虫，使蚊蝇密度等指标符合国家控制标准。</w:t>
      </w:r>
    </w:p>
    <w:p>
      <w:pPr>
        <w:widowControl/>
        <w:shd w:val="clear" w:color="auto" w:fill="FFFFFF"/>
        <w:snapToGrid w:val="0"/>
        <w:spacing w:line="360" w:lineRule="auto"/>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　　第十条　单位和住户发现蟑螂应当及时采取灭杀措施，使蟑螂密度等指标符合国家控制标准。</w:t>
      </w:r>
    </w:p>
    <w:p>
      <w:pPr>
        <w:widowControl/>
        <w:shd w:val="clear" w:color="auto" w:fill="FFFFFF"/>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第十三条　在全市或全区（县）性的除四害统一行动中，单位和住户应当按照市或区（县）爱国卫生运动委员会的部署，使用统一方法、指定的药物及相关器械，实行有效的除四害措施。</w:t>
      </w:r>
    </w:p>
    <w:p>
      <w:pPr>
        <w:snapToGrid w:val="0"/>
        <w:spacing w:beforeLines="50" w:line="360" w:lineRule="auto"/>
        <w:ind w:firstLine="562" w:firstLineChars="200"/>
        <w:rPr>
          <w:rFonts w:ascii="仿宋_GB2312" w:hAnsi="仿宋" w:eastAsia="仿宋_GB2312" w:cs="仿宋"/>
          <w:b/>
          <w:color w:val="000000" w:themeColor="text1"/>
          <w:sz w:val="40"/>
          <w:szCs w:val="28"/>
        </w:rPr>
      </w:pPr>
      <w:r>
        <w:rPr>
          <w:rFonts w:hint="eastAsia" w:ascii="仿宋_GB2312" w:eastAsia="仿宋_GB2312"/>
          <w:b/>
          <w:color w:val="000000" w:themeColor="text1"/>
          <w:sz w:val="28"/>
        </w:rPr>
        <w:t>风险提示</w:t>
      </w:r>
    </w:p>
    <w:p>
      <w:pPr>
        <w:pStyle w:val="47"/>
        <w:snapToGrid w:val="0"/>
        <w:spacing w:beforeLines="50" w:after="0" w:line="360" w:lineRule="auto"/>
        <w:ind w:left="0" w:leftChars="0" w:firstLine="562"/>
        <w:rPr>
          <w:rFonts w:ascii="仿宋_GB2312" w:hAnsi="仿宋" w:eastAsia="仿宋_GB2312" w:cs="仿宋"/>
          <w:b/>
          <w:color w:val="000000" w:themeColor="text1"/>
          <w:sz w:val="28"/>
          <w:szCs w:val="28"/>
        </w:rPr>
      </w:pPr>
      <w:r>
        <w:rPr>
          <w:rFonts w:hint="eastAsia" w:ascii="仿宋_GB2312" w:hAnsi="仿宋" w:eastAsia="仿宋_GB2312" w:cs="仿宋"/>
          <w:b/>
          <w:color w:val="000000" w:themeColor="text1"/>
          <w:sz w:val="28"/>
          <w:szCs w:val="28"/>
        </w:rPr>
        <w:t>根据《北京市除四害工作管理规定》：</w:t>
      </w:r>
    </w:p>
    <w:p>
      <w:pPr>
        <w:snapToGrid w:val="0"/>
        <w:spacing w:line="360" w:lineRule="auto"/>
        <w:ind w:firstLine="560" w:firstLineChars="200"/>
        <w:rPr>
          <w:rFonts w:ascii="仿宋_GB2312" w:hAnsi="宋体" w:eastAsia="仿宋_GB2312" w:cs="宋体"/>
          <w:color w:val="000000" w:themeColor="text1"/>
          <w:kern w:val="0"/>
          <w:sz w:val="28"/>
          <w:szCs w:val="28"/>
        </w:rPr>
      </w:pPr>
      <w:r>
        <w:rPr>
          <w:rFonts w:hint="eastAsia" w:ascii="仿宋_GB2312" w:hAnsi="宋体" w:eastAsia="仿宋_GB2312" w:cs="宋体"/>
          <w:color w:val="000000" w:themeColor="text1"/>
          <w:kern w:val="0"/>
          <w:sz w:val="28"/>
          <w:szCs w:val="28"/>
        </w:rPr>
        <w:t>第十七条　对违反本规定的下列行为，由市或者区、县爱国卫生运动委员会办公室予以处罚：</w:t>
      </w:r>
    </w:p>
    <w:p>
      <w:pPr>
        <w:snapToGrid w:val="0"/>
        <w:spacing w:line="360" w:lineRule="auto"/>
        <w:ind w:firstLine="560" w:firstLineChars="200"/>
        <w:rPr>
          <w:rFonts w:ascii="仿宋_GB2312" w:hAnsi="宋体" w:eastAsia="仿宋_GB2312" w:cs="宋体"/>
          <w:color w:val="000000" w:themeColor="text1"/>
          <w:kern w:val="0"/>
          <w:sz w:val="28"/>
          <w:szCs w:val="28"/>
        </w:rPr>
      </w:pPr>
      <w:r>
        <w:rPr>
          <w:rFonts w:hint="eastAsia" w:ascii="仿宋_GB2312" w:hAnsi="宋体" w:eastAsia="仿宋_GB2312" w:cs="宋体"/>
          <w:color w:val="000000" w:themeColor="text1"/>
          <w:kern w:val="0"/>
          <w:sz w:val="28"/>
          <w:szCs w:val="28"/>
        </w:rPr>
        <w:t>（一）未按第八条、第九条、第十条规定采取有效除四害措施，致使四害密度等指标超过国家控制标准的，予以警告，责令限期改正，并可处以20元以上500元以下罚款；情节严重的，处以500元以上1000元以下罚款。</w:t>
      </w:r>
    </w:p>
    <w:p>
      <w:pPr>
        <w:snapToGrid w:val="0"/>
        <w:spacing w:line="360" w:lineRule="auto"/>
        <w:ind w:firstLine="560" w:firstLineChars="200"/>
        <w:rPr>
          <w:rFonts w:ascii="仿宋_GB2312" w:hAnsi="宋体" w:eastAsia="仿宋_GB2312" w:cs="宋体"/>
          <w:color w:val="000000" w:themeColor="text1"/>
          <w:kern w:val="0"/>
          <w:sz w:val="28"/>
          <w:szCs w:val="28"/>
        </w:rPr>
      </w:pPr>
      <w:r>
        <w:rPr>
          <w:rFonts w:hint="eastAsia" w:ascii="仿宋_GB2312" w:hAnsi="宋体" w:eastAsia="仿宋_GB2312" w:cs="宋体"/>
          <w:color w:val="000000" w:themeColor="text1"/>
          <w:kern w:val="0"/>
          <w:sz w:val="28"/>
          <w:szCs w:val="28"/>
        </w:rPr>
        <w:t>（三）未按第十三条规定采取统一的除四害措施的，给予警告，责令限期改正；逾期不改正的，可处以20元以上1000元以下罚款。</w:t>
      </w:r>
    </w:p>
    <w:p>
      <w:pPr>
        <w:widowControl/>
        <w:snapToGrid w:val="0"/>
        <w:jc w:val="left"/>
        <w:rPr>
          <w:rFonts w:ascii="仿宋_GB2312" w:hAnsi="仿宋" w:eastAsia="仿宋_GB2312" w:cs="仿宋"/>
          <w:bCs/>
          <w:color w:val="000000" w:themeColor="text1"/>
          <w:sz w:val="28"/>
          <w:szCs w:val="28"/>
        </w:rPr>
      </w:pPr>
      <w:r>
        <w:rPr>
          <w:rFonts w:hint="eastAsia" w:ascii="仿宋_GB2312" w:hAnsi="仿宋" w:eastAsia="仿宋_GB2312" w:cs="仿宋"/>
          <w:bCs/>
          <w:color w:val="000000" w:themeColor="text1"/>
          <w:sz w:val="28"/>
          <w:szCs w:val="28"/>
        </w:rPr>
        <w:br w:type="page"/>
      </w:r>
    </w:p>
    <w:p>
      <w:pPr>
        <w:pStyle w:val="4"/>
        <w:snapToGrid w:val="0"/>
        <w:spacing w:before="312" w:after="312"/>
        <w:rPr>
          <w:color w:val="000000" w:themeColor="text1"/>
        </w:rPr>
      </w:pPr>
      <w:bookmarkStart w:id="81" w:name="_Toc150435249"/>
      <w:r>
        <w:rPr>
          <w:rFonts w:hint="eastAsia"/>
          <w:color w:val="000000" w:themeColor="text1"/>
        </w:rPr>
        <w:t>（</w:t>
      </w:r>
      <w:r>
        <w:rPr>
          <w:rFonts w:hint="eastAsia"/>
          <w:color w:val="000000" w:themeColor="text1"/>
          <w:lang w:eastAsia="zh-CN"/>
        </w:rPr>
        <w:t>五</w:t>
      </w:r>
      <w:r>
        <w:rPr>
          <w:rFonts w:hint="eastAsia"/>
          <w:color w:val="000000" w:themeColor="text1"/>
        </w:rPr>
        <w:t>）物业共用部分清洁</w:t>
      </w:r>
      <w:bookmarkEnd w:id="81"/>
    </w:p>
    <w:p>
      <w:pPr>
        <w:snapToGrid w:val="0"/>
        <w:spacing w:beforeLines="50" w:line="360" w:lineRule="auto"/>
        <w:ind w:firstLine="562" w:firstLineChars="200"/>
        <w:rPr>
          <w:rFonts w:ascii="仿宋_GB2312" w:hAnsi="仿宋" w:eastAsia="仿宋_GB2312" w:cs="仿宋"/>
          <w:b/>
          <w:color w:val="000000" w:themeColor="text1"/>
          <w:sz w:val="28"/>
          <w:szCs w:val="32"/>
        </w:rPr>
      </w:pPr>
      <w:r>
        <w:rPr>
          <w:rFonts w:hint="eastAsia" w:ascii="仿宋_GB2312" w:hAnsi="仿宋" w:eastAsia="仿宋_GB2312" w:cs="仿宋"/>
          <w:b/>
          <w:color w:val="000000" w:themeColor="text1"/>
          <w:sz w:val="28"/>
          <w:szCs w:val="32"/>
        </w:rPr>
        <w:t>根据《住宅物业服务标准》：</w:t>
      </w:r>
    </w:p>
    <w:p>
      <w:pPr>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1.楼内</w:t>
      </w:r>
    </w:p>
    <w:p>
      <w:pPr>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（1）大堂、一层候梯厅</w:t>
      </w:r>
    </w:p>
    <w:p>
      <w:pPr>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每日清扫1次、每月至少清拖3次大堂、一层候梯厅地面。每月擦拭1次信报箱、大堂玻璃。（一级）</w:t>
      </w:r>
    </w:p>
    <w:p>
      <w:pPr>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每日清扫1次、每周清拖1次大堂、一层候梯厅地面。每月擦拭2次信报箱、大堂玻璃。（二级）</w:t>
      </w:r>
    </w:p>
    <w:p>
      <w:pPr>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每日清扫并清拖1次大堂、一层候梯厅地面。每周擦拭1次信报箱、大堂玻璃。每月擦拭1次大堂、候梯厅墙面。每日巡视保洁1次大堂、一层候梯厅。（三级）</w:t>
      </w:r>
    </w:p>
    <w:p>
      <w:pPr>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每日清扫并清拖1次大堂、一层候梯厅地面。每周擦拭2次信报箱。每周擦拭1次大堂玻璃。每2周擦拭1次大堂、候梯厅墙面。每日巡视保洁2次大堂、一层候梯厅。（四级）</w:t>
      </w:r>
    </w:p>
    <w:p>
      <w:pPr>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每日清扫、清拖2次大堂、一层候梯厅地面。每日擦拭1次信报箱。每周擦拭1次大堂玻璃。每周擦拭1次大堂、候梯厅墙面。配有家具的，每月护理1次。每日巡视保洁3次大堂、一层候梯厅。（五级）</w:t>
      </w:r>
    </w:p>
    <w:p>
      <w:pPr>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（2）楼道、楼梯</w:t>
      </w:r>
    </w:p>
    <w:p>
      <w:pPr>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每周清扫1次、每季度清拖1次楼道、楼梯地面。每季度擦拭1次楼梯扶手、栏杆、窗台、防火门、消火栓、指示牌等共用设施。（一级）</w:t>
      </w:r>
    </w:p>
    <w:p>
      <w:pPr>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每周清扫1次、每月清拖1次楼道、楼梯地面。每月擦拭1次楼梯扶手、栏杆、窗台、防火门、消火栓、指示牌等共用设施。（二级）</w:t>
      </w:r>
    </w:p>
    <w:p>
      <w:pPr>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每周清扫1次、每2周清拖1次楼道、楼梯地面。每2周擦拭1次楼梯扶手、栏杆、窗台、防火门、消火栓、指示牌等共用设施。每季度除尘1次楼内灯具。每日巡视保洁1次楼道、楼梯。（三级）</w:t>
      </w:r>
    </w:p>
    <w:p>
      <w:pPr>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每日清扫1次、每周清拖2次楼道、楼梯地面。每周擦拭2次楼梯扶手、栏杆、窗台、防火门、消火栓、指示牌等共用设施。每季度除尘1次楼内灯具。根据地面材质，定期做地面清洗、养护。每日巡视保洁2次楼道、楼梯。（四级）</w:t>
      </w:r>
    </w:p>
    <w:p>
      <w:pPr>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每日清扫并清拖1次楼道、楼梯地面。每日擦拭1次楼梯扶手、栏杆、窗台、防火门、消火栓、指示牌等共用设施。每季度除尘1次楼内灯具。根据地面材质，定期做地面清洗、养护。每日巡视保洁2次楼道、楼梯。（五级）</w:t>
      </w:r>
    </w:p>
    <w:p>
      <w:pPr>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2.电梯轿厢</w:t>
      </w:r>
    </w:p>
    <w:p>
      <w:pPr>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每日擦拭1次电梯轿厢门、面板。每日清拖1次轿厢地面。（一至二级）</w:t>
      </w:r>
    </w:p>
    <w:p>
      <w:pPr>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每日擦拭1次电梯轿厢门、面板。每日清拖1次轿厢地面。不锈钢或其他材料装饰的电梯轿厢，每月护理1次；石材装饰的电梯轿厢，每季度养护1次。每日巡视保洁2次电梯轿厢。（三级）</w:t>
      </w:r>
    </w:p>
    <w:p>
      <w:pPr>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每日擦拭1次电梯轿厢门、面板。每日清拖1次轿厢地面。不锈钢或其他材料装饰的电梯轿厢，每月护理2次；石材装饰的电梯轿厢，每季度养护1次。每日巡视保洁3次电梯轿厢。（四级）</w:t>
      </w:r>
    </w:p>
    <w:p>
      <w:pPr>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每日擦拭2次电梯轿厢门、面板。每日清拖2次轿厢地面。不锈钢或其他材料装饰的电梯轿厢，每周护理1次；石材装饰的电梯轿厢，每月养护1次。每日巡视保洁3次电梯轿厢。（五级）</w:t>
      </w:r>
    </w:p>
    <w:p>
      <w:pPr>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3.天台、屋面</w:t>
      </w:r>
    </w:p>
    <w:p>
      <w:pPr>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汛期前清扫1次天台、屋面。（一级）</w:t>
      </w:r>
    </w:p>
    <w:p>
      <w:pPr>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汛期前、雨季期间各清扫1次天台、屋面。每季度巡查1次天台、内天井，有杂物及时清扫。（二级）</w:t>
      </w:r>
    </w:p>
    <w:p>
      <w:pPr>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每季度清扫1次天台、屋面；汛期期间，每2月清扫1次天台、屋面。每月巡查1次天台、内天井，有杂物及时清扫。（三级）</w:t>
      </w:r>
    </w:p>
    <w:p>
      <w:pPr>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每季度清扫1次天台、屋面；汛期期间，每月清扫1次天台、屋面。每2周巡查1次天台、内天井，有杂物及时清扫。（四级）</w:t>
      </w:r>
    </w:p>
    <w:p>
      <w:pPr>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每月清扫1次天台、屋面；汛期期间，每月清扫2次天台、屋面。每周巡查1次天台、内天井，有杂物及时清扫。（五级）</w:t>
      </w:r>
    </w:p>
    <w:p>
      <w:pPr>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4.楼外道路及设施</w:t>
      </w:r>
    </w:p>
    <w:p>
      <w:pPr>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根据水质情况进行消毒净化处理。使用期间每周清洁1次水面；每年清洁2次水池池底。（一至二级）</w:t>
      </w:r>
    </w:p>
    <w:p>
      <w:pPr>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根据水质情况进行消毒净化处理。使用期间每周清洁2次水面；每年清洁2次水池池底。（三级）</w:t>
      </w:r>
    </w:p>
    <w:p>
      <w:pPr>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根据水质情况进行消毒净化处理。使用期间每日清洁1次水面；每年清洁2次水池池底。（四至五级）</w:t>
      </w:r>
    </w:p>
    <w:p>
      <w:pPr>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5.有害生物预防和控制</w:t>
      </w:r>
    </w:p>
    <w:p>
      <w:pPr>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配合相关部门进行有害生物的预防和控制。投放药物应预先告知，投药位置有明显标识。确保投放药物的种类和数量符合规定，并按照产品说明书或专业技术人员指导正确使用。人员作业时应做好安全防护。（一至五级）</w:t>
      </w:r>
    </w:p>
    <w:p>
      <w:pPr>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6.雨雪天气清洁</w:t>
      </w:r>
    </w:p>
    <w:p>
      <w:pPr>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雨后对小区内主路、干路积水进行清扫。降雪时，及时清扫积雪，铲除结冰。扫雪后，要求主路、干路无积雪、积冰。清除的冰雪，应当整齐堆放在不妨碍交通的向阳处，保证责任地段内车辆和行人通行。含有融雪剂的冰雪不得堆放在树坑和绿地内。（一至二级）</w:t>
      </w:r>
    </w:p>
    <w:p>
      <w:pPr>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雨后对小区内主路、干路积水进行清扫。降雪时，及时清扫积雪，铲除结冰。夜间降雪的，主要道路的冰雪在次日10：00前清扫干净。扫雪后，要求主路、干路无积雪、积冰。清除的冰雪，应当整齐堆放在不妨碍交通的向阳处，保证责任地段内车辆和行人通行。含有融雪剂的冰雪不得堆放在树坑和绿地内。（三至四级）</w:t>
      </w:r>
    </w:p>
    <w:p>
      <w:pPr>
        <w:snapToGrid w:val="0"/>
        <w:spacing w:line="360" w:lineRule="auto"/>
        <w:ind w:firstLine="560" w:firstLineChars="200"/>
        <w:rPr>
          <w:rFonts w:ascii="仿宋_GB2312" w:hAnsi="仿宋" w:eastAsia="仿宋_GB2312" w:cs="仿宋"/>
          <w:color w:val="000000" w:themeColor="text1"/>
          <w:sz w:val="28"/>
          <w:szCs w:val="32"/>
        </w:rPr>
      </w:pPr>
      <w:r>
        <w:rPr>
          <w:rFonts w:hint="eastAsia" w:ascii="仿宋_GB2312" w:hAnsi="仿宋" w:eastAsia="仿宋_GB2312" w:cs="仿宋"/>
          <w:color w:val="000000" w:themeColor="text1"/>
          <w:sz w:val="28"/>
          <w:szCs w:val="32"/>
        </w:rPr>
        <w:t>雨后对小区内主路、干路积水进行清扫；雨后4小时道路无成片积水，雨后天晴1日内恢复道路清洁水平。降雪时，及时清扫积雪，铲除结冰。昼间降雪的，随时清扫。夜间降雪的，主要道路的冰雪，在次日9:00前清扫干净；其他责任地段的冰雪，在次日10：00前清扫干净。扫雪后，要求主路、干路无积雪、积冰。清除的冰雪，应当整齐堆放在不妨碍交通的向阳处，保证责任地段内车辆和行人通行。含有融雪剂的冰雪不得堆放在树坑和绿地内。（五级）</w:t>
      </w:r>
    </w:p>
    <w:p>
      <w:pPr>
        <w:widowControl/>
        <w:jc w:val="left"/>
        <w:rPr>
          <w:rFonts w:ascii="仿宋_GB2312" w:hAnsi="Arial" w:eastAsia="仿宋_GB2312"/>
          <w:b/>
          <w:color w:val="000000" w:themeColor="text1"/>
          <w:sz w:val="32"/>
          <w:szCs w:val="32"/>
        </w:rPr>
      </w:pPr>
      <w:r>
        <w:rPr>
          <w:color w:val="000000" w:themeColor="text1"/>
        </w:rPr>
        <w:br w:type="page"/>
      </w:r>
    </w:p>
    <w:p>
      <w:pPr>
        <w:pStyle w:val="4"/>
        <w:snapToGrid w:val="0"/>
        <w:spacing w:before="312" w:after="312"/>
        <w:rPr>
          <w:color w:val="000000" w:themeColor="text1"/>
        </w:rPr>
      </w:pPr>
      <w:bookmarkStart w:id="82" w:name="_Toc150435250"/>
      <w:r>
        <w:rPr>
          <w:rFonts w:hint="eastAsia"/>
          <w:color w:val="000000" w:themeColor="text1"/>
        </w:rPr>
        <w:t>（六）工作检查和记录</w:t>
      </w:r>
      <w:bookmarkEnd w:id="82"/>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1.每日抽查1次清洁质量，做好记录。（一至五级）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2.作业结果</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楼内：地面洁净，无污渍、水渍、积尘，无乱贴乱画、擅自占用、乱堆乱放等现象；信报箱、楼梯扶手、栏杆、窗台、防火门、消防栓箱、指示牌等干净、光亮；大堂玻璃干净、明亮。</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电梯：轿厢门、面板干净、光亮；玻璃镜面保持光亮、无污迹，不锈钢表面光亮，无灰尘、污迹。地面干净无污渍。天台、屋面：无积尘，无纸屑、塑料袋等杂物。</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楼外道路设施：目视道路基本干净、无垃圾、杂物，无积水；目视灯具、宣传栏等共用设施设备无灰尘；雨棚、门头无污渍、无积灰。</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水景：保持水体清澈，无杂物，进、出、溢水口通畅无堵塞。（一至五级）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3.消毒要求</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（1）a.消毒位置（接触位置）：各类设备、设施的把手/扶手/按键，食堂桌面，垃圾桶把手、垃圾桶盖等；b.消毒频次：每日一次。（一至五级）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（2）a.消毒位置（封闭空间）：大堂/电梯等候空间/客服前台/办公室/会议室/培训室/员工宿舍/外包方办公室/安全岗亭/监控中心/生活垃圾房/垃圾中转站等；b.消毒频次：每日一次。（一至五级）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（3）a.消毒位置（开放空间）:娱乐设施、架空层等；b.消毒频次：每周一次。（一至五级）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4.每季度全面检查1次清洁质量，做好记录。（三级）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每月全面检查1次清洁质量，做好记录。（四级）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每2周全面检查1次清洁质量，做好记录。（五级）</w:t>
      </w:r>
    </w:p>
    <w:bookmarkEnd w:id="74"/>
    <w:p>
      <w:pPr>
        <w:pStyle w:val="47"/>
        <w:ind w:firstLine="640"/>
        <w:rPr>
          <w:color w:val="000000" w:themeColor="text1"/>
          <w:sz w:val="32"/>
        </w:rPr>
      </w:pPr>
    </w:p>
    <w:p>
      <w:pPr>
        <w:pStyle w:val="3"/>
        <w:spacing w:before="156" w:after="156"/>
        <w:rPr>
          <w:color w:val="000000" w:themeColor="text1"/>
        </w:rPr>
      </w:pPr>
      <w:bookmarkStart w:id="83" w:name="_Toc150435251"/>
      <w:r>
        <w:rPr>
          <w:rFonts w:hint="eastAsia"/>
          <w:color w:val="000000" w:themeColor="text1"/>
        </w:rPr>
        <w:t>五、公共秩序维护合规指南</w:t>
      </w:r>
      <w:bookmarkEnd w:id="83"/>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物业服务企业应当按照合同约定维护物业服务区域内的基本秩序，采取合理措施保护业主的人身、财产安全，制定服务区域内突发事件的应急处置流程，依法组织应急预案演练，确保突发事件应对期间依法落实应急预案和各项应急措施。日常管理过程中协助政府部门监督业主、物业使用人遵守法律法规和规章的规定以及临时管理规约、管理规约的约定，按照规划用途合理、安全使用物业。</w:t>
      </w:r>
    </w:p>
    <w:p>
      <w:pPr>
        <w:pStyle w:val="4"/>
        <w:snapToGrid w:val="0"/>
        <w:spacing w:before="312" w:after="312"/>
        <w:rPr>
          <w:color w:val="000000" w:themeColor="text1"/>
        </w:rPr>
      </w:pPr>
      <w:bookmarkStart w:id="84" w:name="_Toc150435252"/>
      <w:r>
        <w:rPr>
          <w:rFonts w:hint="eastAsia"/>
          <w:color w:val="000000" w:themeColor="text1"/>
        </w:rPr>
        <w:t>（一）相关要求</w:t>
      </w:r>
      <w:bookmarkEnd w:id="84"/>
    </w:p>
    <w:p>
      <w:pPr>
        <w:snapToGrid w:val="0"/>
        <w:spacing w:beforeLines="50" w:line="360" w:lineRule="auto"/>
        <w:ind w:firstLine="562" w:firstLineChars="200"/>
        <w:rPr>
          <w:rFonts w:ascii="仿宋_GB2312" w:hAnsi="仿宋" w:eastAsia="仿宋_GB2312" w:cs="仿宋"/>
          <w:b/>
          <w:color w:val="000000" w:themeColor="text1"/>
          <w:sz w:val="28"/>
          <w:szCs w:val="28"/>
        </w:rPr>
      </w:pPr>
      <w:r>
        <w:rPr>
          <w:rFonts w:hint="eastAsia" w:ascii="仿宋_GB2312" w:hAnsi="仿宋" w:eastAsia="仿宋_GB2312" w:cs="仿宋"/>
          <w:b/>
          <w:color w:val="000000" w:themeColor="text1"/>
          <w:sz w:val="28"/>
          <w:szCs w:val="28"/>
        </w:rPr>
        <w:t>根据《保安服务管理条例》</w:t>
      </w:r>
      <w:r>
        <w:rPr>
          <w:rFonts w:ascii="仿宋_GB2312" w:hAnsi="仿宋" w:eastAsia="仿宋_GB2312" w:cs="仿宋"/>
          <w:b/>
          <w:color w:val="000000" w:themeColor="text1"/>
          <w:sz w:val="28"/>
          <w:szCs w:val="28"/>
        </w:rPr>
        <w:t>（</w:t>
      </w:r>
      <w:r>
        <w:rPr>
          <w:rFonts w:hint="eastAsia" w:ascii="仿宋_GB2312" w:hAnsi="仿宋" w:eastAsia="仿宋_GB2312" w:cs="仿宋"/>
          <w:b/>
          <w:color w:val="000000" w:themeColor="text1"/>
          <w:sz w:val="28"/>
          <w:szCs w:val="28"/>
        </w:rPr>
        <w:t>中华人民共和国</w:t>
      </w:r>
      <w:r>
        <w:rPr>
          <w:rFonts w:ascii="仿宋_GB2312" w:hAnsi="仿宋" w:eastAsia="仿宋_GB2312" w:cs="仿宋"/>
          <w:b/>
          <w:color w:val="000000" w:themeColor="text1"/>
          <w:sz w:val="28"/>
          <w:szCs w:val="28"/>
        </w:rPr>
        <w:t>国务院令第564号）</w:t>
      </w:r>
      <w:r>
        <w:rPr>
          <w:rFonts w:hint="eastAsia" w:ascii="仿宋_GB2312" w:hAnsi="仿宋" w:eastAsia="仿宋_GB2312" w:cs="仿宋"/>
          <w:b/>
          <w:color w:val="000000" w:themeColor="text1"/>
          <w:sz w:val="28"/>
          <w:szCs w:val="28"/>
        </w:rPr>
        <w:t>：</w:t>
      </w:r>
    </w:p>
    <w:p>
      <w:pPr>
        <w:pStyle w:val="47"/>
        <w:snapToGrid w:val="0"/>
        <w:spacing w:after="0" w:line="360" w:lineRule="auto"/>
        <w:ind w:left="0" w:leftChars="0" w:firstLine="56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w:t>
      </w:r>
      <w:r>
        <w:rPr>
          <w:rFonts w:ascii="仿宋_GB2312" w:hAnsi="仿宋" w:eastAsia="仿宋_GB2312" w:cs="仿宋"/>
          <w:color w:val="000000" w:themeColor="text1"/>
          <w:sz w:val="28"/>
          <w:szCs w:val="28"/>
        </w:rPr>
        <w:t>.</w:t>
      </w:r>
      <w:r>
        <w:rPr>
          <w:rFonts w:hint="eastAsia" w:ascii="仿宋_GB2312" w:hAnsi="仿宋" w:eastAsia="仿宋_GB2312" w:cs="仿宋"/>
          <w:color w:val="000000" w:themeColor="text1"/>
          <w:sz w:val="28"/>
          <w:szCs w:val="28"/>
        </w:rPr>
        <w:t>保安服务是指：（三）物业服务企业招用人员在物业管理区域内开展的门卫、巡逻、秩序维护等服务。</w:t>
      </w:r>
    </w:p>
    <w:p>
      <w:pPr>
        <w:pStyle w:val="47"/>
        <w:snapToGrid w:val="0"/>
        <w:spacing w:after="0" w:line="360" w:lineRule="auto"/>
        <w:ind w:left="0" w:leftChars="0" w:firstLine="562"/>
        <w:rPr>
          <w:rFonts w:ascii="仿宋_GB2312" w:hAnsi="仿宋" w:eastAsia="仿宋_GB2312" w:cs="仿宋"/>
          <w:b/>
          <w:bCs/>
          <w:color w:val="000000" w:themeColor="text1"/>
          <w:sz w:val="28"/>
          <w:szCs w:val="28"/>
        </w:rPr>
      </w:pPr>
      <w:r>
        <w:rPr>
          <w:rStyle w:val="29"/>
          <w:rFonts w:hint="eastAsia" w:ascii="仿宋_GB2312" w:eastAsia="仿宋_GB2312"/>
          <w:color w:val="000000" w:themeColor="text1"/>
          <w:sz w:val="28"/>
          <w:szCs w:val="28"/>
          <w:shd w:val="clear" w:color="auto" w:fill="FFFFFF"/>
        </w:rPr>
        <w:t>2</w:t>
      </w:r>
      <w:r>
        <w:rPr>
          <w:rStyle w:val="29"/>
          <w:rFonts w:ascii="仿宋_GB2312" w:eastAsia="仿宋_GB2312"/>
          <w:color w:val="000000" w:themeColor="text1"/>
          <w:sz w:val="28"/>
          <w:szCs w:val="28"/>
          <w:shd w:val="clear" w:color="auto" w:fill="FFFFFF"/>
        </w:rPr>
        <w:t>.</w:t>
      </w:r>
      <w:r>
        <w:rPr>
          <w:rFonts w:hint="eastAsia" w:ascii="仿宋_GB2312" w:eastAsia="仿宋_GB2312"/>
          <w:color w:val="000000" w:themeColor="text1"/>
          <w:sz w:val="28"/>
          <w:szCs w:val="28"/>
          <w:shd w:val="clear" w:color="auto" w:fill="FFFFFF"/>
        </w:rPr>
        <w:t>自行招用保安员的单位应当建立健全保安服务管理制度、岗位责任制度和保安员管理制度，加强对保安员的管理、教育和培训，提高保安员的职业道德水平、业务素质和责任意识。</w:t>
      </w:r>
    </w:p>
    <w:p>
      <w:pPr>
        <w:pStyle w:val="47"/>
        <w:snapToGrid w:val="0"/>
        <w:spacing w:after="0" w:line="360" w:lineRule="auto"/>
        <w:ind w:left="0" w:leftChars="0" w:firstLine="562"/>
        <w:rPr>
          <w:rFonts w:ascii="仿宋_GB2312" w:hAnsi="仿宋" w:eastAsia="仿宋_GB2312" w:cs="仿宋"/>
          <w:b/>
          <w:bCs/>
          <w:color w:val="000000" w:themeColor="text1"/>
          <w:sz w:val="28"/>
          <w:szCs w:val="28"/>
        </w:rPr>
      </w:pPr>
      <w:r>
        <w:rPr>
          <w:rStyle w:val="29"/>
          <w:rFonts w:hint="eastAsia" w:ascii="仿宋_GB2312" w:eastAsia="仿宋_GB2312"/>
          <w:color w:val="000000" w:themeColor="text1"/>
          <w:sz w:val="28"/>
          <w:szCs w:val="28"/>
          <w:shd w:val="clear" w:color="auto" w:fill="FFFFFF"/>
        </w:rPr>
        <w:t>3</w:t>
      </w:r>
      <w:r>
        <w:rPr>
          <w:rStyle w:val="29"/>
          <w:rFonts w:ascii="仿宋_GB2312" w:eastAsia="仿宋_GB2312"/>
          <w:color w:val="000000" w:themeColor="text1"/>
          <w:sz w:val="28"/>
          <w:szCs w:val="28"/>
          <w:shd w:val="clear" w:color="auto" w:fill="FFFFFF"/>
        </w:rPr>
        <w:t>.</w:t>
      </w:r>
      <w:r>
        <w:rPr>
          <w:rFonts w:hint="eastAsia" w:ascii="仿宋_GB2312" w:eastAsia="仿宋_GB2312"/>
          <w:color w:val="000000" w:themeColor="text1"/>
          <w:sz w:val="28"/>
          <w:szCs w:val="28"/>
          <w:shd w:val="clear" w:color="auto" w:fill="FFFFFF"/>
        </w:rPr>
        <w:t>自行招用保安员的单位，应当自开始保安服务之日起30日内向所在地设区的市级人民政府公安机关备案，备案应当提供下列材料：</w:t>
      </w:r>
      <w:r>
        <w:rPr>
          <w:rFonts w:hint="eastAsia" w:ascii="仿宋_GB2312" w:eastAsia="仿宋_GB2312"/>
          <w:color w:val="000000" w:themeColor="text1"/>
          <w:sz w:val="28"/>
          <w:szCs w:val="28"/>
        </w:rPr>
        <w:br w:type="textWrapping"/>
      </w:r>
      <w:r>
        <w:rPr>
          <w:rFonts w:hint="eastAsia" w:ascii="仿宋_GB2312" w:eastAsia="仿宋_GB2312"/>
          <w:color w:val="000000" w:themeColor="text1"/>
          <w:sz w:val="28"/>
          <w:szCs w:val="28"/>
          <w:shd w:val="clear" w:color="auto" w:fill="FFFFFF"/>
        </w:rPr>
        <w:t>　　（一）法人资格证明；</w:t>
      </w:r>
      <w:r>
        <w:rPr>
          <w:rFonts w:hint="eastAsia" w:ascii="仿宋_GB2312" w:eastAsia="仿宋_GB2312"/>
          <w:color w:val="000000" w:themeColor="text1"/>
          <w:sz w:val="28"/>
          <w:szCs w:val="28"/>
        </w:rPr>
        <w:br w:type="textWrapping"/>
      </w:r>
      <w:r>
        <w:rPr>
          <w:rFonts w:hint="eastAsia" w:ascii="仿宋_GB2312" w:eastAsia="仿宋_GB2312"/>
          <w:color w:val="000000" w:themeColor="text1"/>
          <w:sz w:val="28"/>
          <w:szCs w:val="28"/>
          <w:shd w:val="clear" w:color="auto" w:fill="FFFFFF"/>
        </w:rPr>
        <w:t>　　（二）法定代表人（主要负责人）、分管负责人和保安员的基本情况；</w:t>
      </w:r>
      <w:r>
        <w:rPr>
          <w:rFonts w:hint="eastAsia" w:ascii="仿宋_GB2312" w:eastAsia="仿宋_GB2312"/>
          <w:color w:val="000000" w:themeColor="text1"/>
          <w:sz w:val="28"/>
          <w:szCs w:val="28"/>
        </w:rPr>
        <w:br w:type="textWrapping"/>
      </w:r>
      <w:r>
        <w:rPr>
          <w:rFonts w:hint="eastAsia" w:ascii="仿宋_GB2312" w:eastAsia="仿宋_GB2312"/>
          <w:color w:val="000000" w:themeColor="text1"/>
          <w:sz w:val="28"/>
          <w:szCs w:val="28"/>
          <w:shd w:val="clear" w:color="auto" w:fill="FFFFFF"/>
        </w:rPr>
        <w:t>　　（三）保安服务区域的基本情况；</w:t>
      </w:r>
      <w:r>
        <w:rPr>
          <w:rFonts w:hint="eastAsia" w:ascii="仿宋_GB2312" w:eastAsia="仿宋_GB2312"/>
          <w:color w:val="000000" w:themeColor="text1"/>
          <w:sz w:val="28"/>
          <w:szCs w:val="28"/>
        </w:rPr>
        <w:br w:type="textWrapping"/>
      </w:r>
      <w:r>
        <w:rPr>
          <w:rFonts w:hint="eastAsia" w:ascii="仿宋_GB2312" w:eastAsia="仿宋_GB2312"/>
          <w:color w:val="000000" w:themeColor="text1"/>
          <w:sz w:val="28"/>
          <w:szCs w:val="28"/>
          <w:shd w:val="clear" w:color="auto" w:fill="FFFFFF"/>
        </w:rPr>
        <w:t>　　（四）建立保安服务管理制度、岗位责任制度、保安员管理制度的情况。</w:t>
      </w:r>
      <w:r>
        <w:rPr>
          <w:rFonts w:hint="eastAsia" w:ascii="仿宋_GB2312" w:eastAsia="仿宋_GB2312"/>
          <w:color w:val="000000" w:themeColor="text1"/>
          <w:sz w:val="28"/>
          <w:szCs w:val="28"/>
        </w:rPr>
        <w:br w:type="textWrapping"/>
      </w:r>
      <w:r>
        <w:rPr>
          <w:rFonts w:hint="eastAsia" w:ascii="仿宋_GB2312" w:eastAsia="仿宋_GB2312"/>
          <w:color w:val="000000" w:themeColor="text1"/>
          <w:sz w:val="28"/>
          <w:szCs w:val="28"/>
          <w:shd w:val="clear" w:color="auto" w:fill="FFFFFF"/>
        </w:rPr>
        <w:t>　　自行招用保安员的单位不再招用保安员进行保安服务的，应当自停止保安服务之日起30日内到备案的公安机关撤销备案。</w:t>
      </w:r>
    </w:p>
    <w:p>
      <w:pPr>
        <w:pStyle w:val="47"/>
        <w:snapToGrid w:val="0"/>
        <w:spacing w:after="0" w:line="360" w:lineRule="auto"/>
        <w:ind w:left="0" w:leftChars="0" w:firstLine="560"/>
        <w:rPr>
          <w:rFonts w:ascii="仿宋_GB2312" w:eastAsia="仿宋_GB2312"/>
          <w:color w:val="000000" w:themeColor="text1"/>
          <w:sz w:val="28"/>
          <w:szCs w:val="28"/>
          <w:shd w:val="clear" w:color="auto" w:fill="FFFFFF"/>
        </w:rPr>
      </w:pPr>
      <w:r>
        <w:rPr>
          <w:rFonts w:hint="eastAsia" w:ascii="仿宋_GB2312" w:hAnsi="仿宋" w:eastAsia="仿宋_GB2312" w:cs="仿宋"/>
          <w:bCs/>
          <w:color w:val="000000" w:themeColor="text1"/>
          <w:sz w:val="28"/>
          <w:szCs w:val="28"/>
        </w:rPr>
        <w:t>4</w:t>
      </w:r>
      <w:r>
        <w:rPr>
          <w:rFonts w:ascii="仿宋_GB2312" w:hAnsi="仿宋" w:eastAsia="仿宋_GB2312" w:cs="仿宋"/>
          <w:bCs/>
          <w:color w:val="000000" w:themeColor="text1"/>
          <w:sz w:val="28"/>
          <w:szCs w:val="28"/>
        </w:rPr>
        <w:t>.</w:t>
      </w:r>
      <w:r>
        <w:rPr>
          <w:rFonts w:hint="eastAsia" w:ascii="仿宋_GB2312" w:hAnsi="仿宋" w:eastAsia="仿宋_GB2312" w:cs="仿宋"/>
          <w:color w:val="000000" w:themeColor="text1"/>
          <w:sz w:val="28"/>
          <w:szCs w:val="28"/>
        </w:rPr>
        <w:t>自行招用保安员的单位不得在本单位以外或者物业管理区域以外提供保安服务。</w:t>
      </w:r>
    </w:p>
    <w:p>
      <w:pPr>
        <w:pStyle w:val="47"/>
        <w:snapToGrid w:val="0"/>
        <w:spacing w:after="0" w:line="360" w:lineRule="auto"/>
        <w:ind w:left="0" w:leftChars="0" w:firstLine="562"/>
        <w:rPr>
          <w:rFonts w:ascii="仿宋_GB2312" w:eastAsia="仿宋_GB2312"/>
          <w:color w:val="000000" w:themeColor="text1"/>
          <w:sz w:val="28"/>
          <w:szCs w:val="28"/>
          <w:shd w:val="clear" w:color="auto" w:fill="FFFFFF"/>
        </w:rPr>
      </w:pPr>
      <w:r>
        <w:rPr>
          <w:rStyle w:val="29"/>
          <w:rFonts w:hint="eastAsia" w:ascii="仿宋_GB2312" w:eastAsia="仿宋_GB2312"/>
          <w:color w:val="000000" w:themeColor="text1"/>
          <w:sz w:val="28"/>
          <w:szCs w:val="28"/>
          <w:shd w:val="clear" w:color="auto" w:fill="FFFFFF"/>
        </w:rPr>
        <w:t>5</w:t>
      </w:r>
      <w:r>
        <w:rPr>
          <w:rStyle w:val="29"/>
          <w:rFonts w:ascii="仿宋_GB2312" w:eastAsia="仿宋_GB2312"/>
          <w:color w:val="000000" w:themeColor="text1"/>
          <w:sz w:val="28"/>
          <w:szCs w:val="28"/>
          <w:shd w:val="clear" w:color="auto" w:fill="FFFFFF"/>
        </w:rPr>
        <w:t>.</w:t>
      </w:r>
      <w:r>
        <w:rPr>
          <w:rFonts w:hint="eastAsia" w:ascii="仿宋_GB2312" w:eastAsia="仿宋_GB2312"/>
          <w:color w:val="000000" w:themeColor="text1"/>
          <w:sz w:val="28"/>
          <w:szCs w:val="28"/>
          <w:shd w:val="clear" w:color="auto" w:fill="FFFFFF"/>
        </w:rPr>
        <w:t>保安服务公司提供保安服务应当与客户单位签订保安服务合同，明确规定服务的项目、内容以及双方的权利义务。保安服务合同终止后，保安服务公司应当将保安服务合同至少留存2年备查。</w:t>
      </w:r>
      <w:r>
        <w:rPr>
          <w:rFonts w:hint="eastAsia" w:ascii="仿宋_GB2312" w:eastAsia="仿宋_GB2312"/>
          <w:color w:val="000000" w:themeColor="text1"/>
          <w:sz w:val="28"/>
          <w:szCs w:val="28"/>
        </w:rPr>
        <w:br w:type="textWrapping"/>
      </w:r>
      <w:r>
        <w:rPr>
          <w:rFonts w:hint="eastAsia" w:ascii="仿宋_GB2312" w:eastAsia="仿宋_GB2312"/>
          <w:color w:val="000000" w:themeColor="text1"/>
          <w:sz w:val="28"/>
          <w:szCs w:val="28"/>
          <w:shd w:val="clear" w:color="auto" w:fill="FFFFFF"/>
        </w:rPr>
        <w:t>　　保安服务公司应当对客户单位要求提供的保安服务的合法性进行核查，对违法的保安服务要求应当拒绝，并向公安机关报告。</w:t>
      </w:r>
    </w:p>
    <w:p>
      <w:pPr>
        <w:pStyle w:val="47"/>
        <w:snapToGrid w:val="0"/>
        <w:spacing w:after="0" w:line="360" w:lineRule="auto"/>
        <w:ind w:left="0" w:leftChars="0" w:firstLine="562"/>
        <w:rPr>
          <w:rFonts w:ascii="仿宋_GB2312" w:eastAsia="仿宋_GB2312"/>
          <w:color w:val="000000" w:themeColor="text1"/>
          <w:sz w:val="28"/>
          <w:szCs w:val="28"/>
          <w:shd w:val="clear" w:color="auto" w:fill="FFFFFF"/>
        </w:rPr>
      </w:pPr>
      <w:r>
        <w:rPr>
          <w:rStyle w:val="29"/>
          <w:rFonts w:ascii="仿宋_GB2312" w:eastAsia="仿宋_GB2312"/>
          <w:color w:val="000000" w:themeColor="text1"/>
          <w:sz w:val="28"/>
          <w:szCs w:val="28"/>
          <w:shd w:val="clear" w:color="auto" w:fill="FFFFFF"/>
        </w:rPr>
        <w:t>6.</w:t>
      </w:r>
      <w:r>
        <w:rPr>
          <w:rFonts w:hint="eastAsia" w:ascii="仿宋_GB2312" w:eastAsia="仿宋_GB2312"/>
          <w:color w:val="000000" w:themeColor="text1"/>
          <w:sz w:val="28"/>
          <w:szCs w:val="28"/>
          <w:shd w:val="clear" w:color="auto" w:fill="FFFFFF"/>
        </w:rPr>
        <w:t>保安服务中使用的技术防范产品，应当符合有关的产品质量要求。保安服务中安装监控设备应当遵守国家有关技术规范，使用监控设备不得侵犯他人合法权益或者个人隐私。</w:t>
      </w:r>
      <w:r>
        <w:rPr>
          <w:rFonts w:hint="eastAsia" w:ascii="仿宋_GB2312" w:eastAsia="仿宋_GB2312"/>
          <w:color w:val="000000" w:themeColor="text1"/>
          <w:sz w:val="28"/>
          <w:szCs w:val="28"/>
        </w:rPr>
        <w:br w:type="textWrapping"/>
      </w:r>
      <w:r>
        <w:rPr>
          <w:rFonts w:hint="eastAsia" w:ascii="仿宋_GB2312" w:eastAsia="仿宋_GB2312"/>
          <w:color w:val="000000" w:themeColor="text1"/>
          <w:sz w:val="28"/>
          <w:szCs w:val="28"/>
          <w:shd w:val="clear" w:color="auto" w:fill="FFFFFF"/>
        </w:rPr>
        <w:t>　　保安服务中形成的监控影像资料、报警记录，应当至少留存30日备查，保安从业单位和客户单位不得删改或者扩散。</w:t>
      </w:r>
      <w:r>
        <w:rPr>
          <w:rFonts w:hint="eastAsia" w:ascii="仿宋_GB2312" w:eastAsia="仿宋_GB2312"/>
          <w:color w:val="000000" w:themeColor="text1"/>
          <w:sz w:val="28"/>
          <w:szCs w:val="28"/>
        </w:rPr>
        <w:br w:type="textWrapping"/>
      </w:r>
      <w:r>
        <w:rPr>
          <w:rFonts w:hint="eastAsia" w:ascii="仿宋_GB2312" w:eastAsia="仿宋_GB2312"/>
          <w:color w:val="000000" w:themeColor="text1"/>
          <w:sz w:val="28"/>
          <w:szCs w:val="28"/>
          <w:shd w:val="clear" w:color="auto" w:fill="FFFFFF"/>
        </w:rPr>
        <w:t>　　</w:t>
      </w:r>
      <w:r>
        <w:rPr>
          <w:rStyle w:val="29"/>
          <w:rFonts w:hint="eastAsia" w:ascii="仿宋_GB2312" w:eastAsia="仿宋_GB2312"/>
          <w:color w:val="000000" w:themeColor="text1"/>
          <w:sz w:val="28"/>
          <w:szCs w:val="28"/>
          <w:shd w:val="clear" w:color="auto" w:fill="FFFFFF"/>
        </w:rPr>
        <w:t>7</w:t>
      </w:r>
      <w:r>
        <w:rPr>
          <w:rStyle w:val="29"/>
          <w:rFonts w:ascii="仿宋_GB2312" w:eastAsia="仿宋_GB2312"/>
          <w:color w:val="000000" w:themeColor="text1"/>
          <w:sz w:val="28"/>
          <w:szCs w:val="28"/>
          <w:shd w:val="clear" w:color="auto" w:fill="FFFFFF"/>
        </w:rPr>
        <w:t>.</w:t>
      </w:r>
      <w:r>
        <w:rPr>
          <w:rFonts w:hint="eastAsia" w:ascii="仿宋_GB2312" w:eastAsia="仿宋_GB2312"/>
          <w:color w:val="000000" w:themeColor="text1"/>
          <w:sz w:val="28"/>
          <w:szCs w:val="28"/>
          <w:shd w:val="clear" w:color="auto" w:fill="FFFFFF"/>
        </w:rPr>
        <w:t>保安从业单位对保安服务中获知的国家秘密、商业秘密以及客户单位明确要求保密的信息，应当予以保密。</w:t>
      </w:r>
      <w:r>
        <w:rPr>
          <w:rFonts w:hint="eastAsia" w:ascii="仿宋_GB2312" w:eastAsia="仿宋_GB2312"/>
          <w:color w:val="000000" w:themeColor="text1"/>
          <w:sz w:val="28"/>
          <w:szCs w:val="28"/>
        </w:rPr>
        <w:br w:type="textWrapping"/>
      </w:r>
      <w:r>
        <w:rPr>
          <w:rFonts w:hint="eastAsia" w:ascii="仿宋_GB2312" w:eastAsia="仿宋_GB2312"/>
          <w:color w:val="000000" w:themeColor="text1"/>
          <w:sz w:val="28"/>
          <w:szCs w:val="28"/>
          <w:shd w:val="clear" w:color="auto" w:fill="FFFFFF"/>
        </w:rPr>
        <w:t>　　保安从业单位不得指使、纵容保安员阻碍依法执行公务、参与追索债务、采用暴力或者以暴力相威胁的手段处置纠纷。</w:t>
      </w:r>
      <w:r>
        <w:rPr>
          <w:rFonts w:hint="eastAsia" w:ascii="仿宋_GB2312" w:eastAsia="仿宋_GB2312"/>
          <w:color w:val="000000" w:themeColor="text1"/>
          <w:sz w:val="28"/>
          <w:szCs w:val="28"/>
        </w:rPr>
        <w:br w:type="textWrapping"/>
      </w:r>
      <w:r>
        <w:rPr>
          <w:rFonts w:hint="eastAsia" w:ascii="仿宋_GB2312" w:eastAsia="仿宋_GB2312"/>
          <w:color w:val="000000" w:themeColor="text1"/>
          <w:sz w:val="28"/>
          <w:szCs w:val="28"/>
          <w:shd w:val="clear" w:color="auto" w:fill="FFFFFF"/>
        </w:rPr>
        <w:t>　　</w:t>
      </w:r>
      <w:r>
        <w:rPr>
          <w:rStyle w:val="29"/>
          <w:rFonts w:hint="eastAsia" w:ascii="仿宋_GB2312" w:eastAsia="仿宋_GB2312"/>
          <w:color w:val="000000" w:themeColor="text1"/>
          <w:sz w:val="28"/>
          <w:szCs w:val="28"/>
          <w:shd w:val="clear" w:color="auto" w:fill="FFFFFF"/>
        </w:rPr>
        <w:t>8</w:t>
      </w:r>
      <w:r>
        <w:rPr>
          <w:rStyle w:val="29"/>
          <w:rFonts w:ascii="仿宋_GB2312" w:eastAsia="仿宋_GB2312"/>
          <w:color w:val="000000" w:themeColor="text1"/>
          <w:sz w:val="28"/>
          <w:szCs w:val="28"/>
          <w:shd w:val="clear" w:color="auto" w:fill="FFFFFF"/>
        </w:rPr>
        <w:t>.</w:t>
      </w:r>
      <w:r>
        <w:rPr>
          <w:rFonts w:hint="eastAsia" w:ascii="仿宋_GB2312" w:eastAsia="仿宋_GB2312"/>
          <w:color w:val="000000" w:themeColor="text1"/>
          <w:sz w:val="28"/>
          <w:szCs w:val="28"/>
          <w:shd w:val="clear" w:color="auto" w:fill="FFFFFF"/>
        </w:rPr>
        <w:t>保安员上岗应当着保安员服装，佩带全国统一的保安服务标志。保安员服装和保安服务标志应当与人民解放军、人民武装警察和人民警察、工商税务等行政执法机关以及人民法院、人民检察院工作人员的制式服装、标志服饰有明显区别。</w:t>
      </w:r>
      <w:r>
        <w:rPr>
          <w:rFonts w:hint="eastAsia" w:ascii="仿宋_GB2312" w:eastAsia="仿宋_GB2312"/>
          <w:color w:val="000000" w:themeColor="text1"/>
          <w:sz w:val="28"/>
          <w:szCs w:val="28"/>
        </w:rPr>
        <w:br w:type="textWrapping"/>
      </w:r>
      <w:r>
        <w:rPr>
          <w:rFonts w:hint="eastAsia" w:ascii="仿宋_GB2312" w:eastAsia="仿宋_GB2312"/>
          <w:color w:val="000000" w:themeColor="text1"/>
          <w:sz w:val="28"/>
          <w:szCs w:val="28"/>
          <w:shd w:val="clear" w:color="auto" w:fill="FFFFFF"/>
        </w:rPr>
        <w:t>　　保安员服装由全国保安服务行业协会推荐式样，由保安服务从业单位在推荐式样范围内选用。保安服务标志式样由全国保安服务行业协会确定。</w:t>
      </w:r>
      <w:r>
        <w:rPr>
          <w:rFonts w:hint="eastAsia" w:ascii="仿宋_GB2312" w:eastAsia="仿宋_GB2312"/>
          <w:color w:val="000000" w:themeColor="text1"/>
          <w:sz w:val="28"/>
          <w:szCs w:val="28"/>
        </w:rPr>
        <w:br w:type="textWrapping"/>
      </w:r>
      <w:r>
        <w:rPr>
          <w:rFonts w:hint="eastAsia" w:ascii="仿宋_GB2312" w:eastAsia="仿宋_GB2312"/>
          <w:color w:val="000000" w:themeColor="text1"/>
          <w:sz w:val="28"/>
          <w:szCs w:val="28"/>
          <w:shd w:val="clear" w:color="auto" w:fill="FFFFFF"/>
        </w:rPr>
        <w:t>　　</w:t>
      </w:r>
      <w:r>
        <w:rPr>
          <w:rStyle w:val="29"/>
          <w:rFonts w:hint="eastAsia" w:ascii="仿宋_GB2312" w:eastAsia="仿宋_GB2312"/>
          <w:color w:val="000000" w:themeColor="text1"/>
          <w:sz w:val="28"/>
          <w:szCs w:val="28"/>
          <w:shd w:val="clear" w:color="auto" w:fill="FFFFFF"/>
        </w:rPr>
        <w:t>9</w:t>
      </w:r>
      <w:r>
        <w:rPr>
          <w:rStyle w:val="29"/>
          <w:rFonts w:ascii="仿宋_GB2312" w:eastAsia="仿宋_GB2312"/>
          <w:color w:val="000000" w:themeColor="text1"/>
          <w:sz w:val="28"/>
          <w:szCs w:val="28"/>
          <w:shd w:val="clear" w:color="auto" w:fill="FFFFFF"/>
        </w:rPr>
        <w:t>.</w:t>
      </w:r>
      <w:r>
        <w:rPr>
          <w:rFonts w:hint="eastAsia" w:ascii="仿宋_GB2312" w:eastAsia="仿宋_GB2312"/>
          <w:color w:val="000000" w:themeColor="text1"/>
          <w:sz w:val="28"/>
          <w:szCs w:val="28"/>
          <w:shd w:val="clear" w:color="auto" w:fill="FFFFFF"/>
        </w:rPr>
        <w:t>保安从业单位应当根据保安服务岗位的需要为保安员配备所需的装备。</w:t>
      </w:r>
    </w:p>
    <w:p>
      <w:pPr>
        <w:pStyle w:val="47"/>
        <w:snapToGrid w:val="0"/>
        <w:spacing w:after="0" w:line="360" w:lineRule="auto"/>
        <w:ind w:left="0" w:leftChars="0" w:firstLine="562"/>
        <w:rPr>
          <w:rFonts w:ascii="仿宋_GB2312" w:eastAsia="仿宋_GB2312"/>
          <w:color w:val="000000" w:themeColor="text1"/>
          <w:sz w:val="28"/>
          <w:szCs w:val="28"/>
        </w:rPr>
      </w:pPr>
      <w:r>
        <w:rPr>
          <w:rStyle w:val="29"/>
          <w:rFonts w:hint="eastAsia" w:ascii="仿宋_GB2312" w:eastAsia="仿宋_GB2312"/>
          <w:color w:val="000000" w:themeColor="text1"/>
          <w:sz w:val="28"/>
          <w:szCs w:val="28"/>
          <w:shd w:val="clear" w:color="auto" w:fill="FFFFFF"/>
        </w:rPr>
        <w:t>1</w:t>
      </w:r>
      <w:r>
        <w:rPr>
          <w:rStyle w:val="29"/>
          <w:rFonts w:ascii="仿宋_GB2312" w:eastAsia="仿宋_GB2312"/>
          <w:color w:val="000000" w:themeColor="text1"/>
          <w:sz w:val="28"/>
          <w:szCs w:val="28"/>
          <w:shd w:val="clear" w:color="auto" w:fill="FFFFFF"/>
        </w:rPr>
        <w:t>0.</w:t>
      </w:r>
      <w:r>
        <w:rPr>
          <w:rFonts w:hint="eastAsia" w:ascii="仿宋_GB2312" w:eastAsia="仿宋_GB2312"/>
          <w:color w:val="000000" w:themeColor="text1"/>
          <w:sz w:val="28"/>
          <w:szCs w:val="28"/>
          <w:shd w:val="clear" w:color="auto" w:fill="FFFFFF"/>
        </w:rPr>
        <w:t>在保安服务中，为履行保安服务职责，保安员可以采取下列措施：</w:t>
      </w:r>
    </w:p>
    <w:p>
      <w:pPr>
        <w:pStyle w:val="47"/>
        <w:snapToGrid w:val="0"/>
        <w:spacing w:after="0" w:line="360" w:lineRule="auto"/>
        <w:ind w:left="0" w:leftChars="0" w:firstLine="560"/>
        <w:rPr>
          <w:rFonts w:ascii="仿宋_GB2312" w:eastAsia="仿宋_GB2312"/>
          <w:color w:val="000000" w:themeColor="text1"/>
          <w:sz w:val="28"/>
          <w:szCs w:val="28"/>
          <w:shd w:val="clear" w:color="auto" w:fill="FFFFFF"/>
        </w:rPr>
      </w:pPr>
      <w:r>
        <w:rPr>
          <w:rFonts w:hint="eastAsia" w:ascii="仿宋_GB2312" w:eastAsia="仿宋_GB2312"/>
          <w:color w:val="000000" w:themeColor="text1"/>
          <w:sz w:val="28"/>
          <w:szCs w:val="28"/>
          <w:shd w:val="clear" w:color="auto" w:fill="FFFFFF"/>
        </w:rPr>
        <w:t>（一）查验出入服务区域的人员的证件，登记出入的车辆和物品；</w:t>
      </w:r>
      <w:r>
        <w:rPr>
          <w:rFonts w:hint="eastAsia" w:ascii="仿宋_GB2312" w:eastAsia="仿宋_GB2312"/>
          <w:color w:val="000000" w:themeColor="text1"/>
          <w:sz w:val="28"/>
          <w:szCs w:val="28"/>
        </w:rPr>
        <w:br w:type="textWrapping"/>
      </w:r>
      <w:r>
        <w:rPr>
          <w:rFonts w:hint="eastAsia" w:ascii="仿宋_GB2312" w:eastAsia="仿宋_GB2312"/>
          <w:color w:val="000000" w:themeColor="text1"/>
          <w:sz w:val="28"/>
          <w:szCs w:val="28"/>
          <w:shd w:val="clear" w:color="auto" w:fill="FFFFFF"/>
        </w:rPr>
        <w:t>　　（二）在服务区域内进行巡逻、守护、安全检查、报警监控；</w:t>
      </w:r>
    </w:p>
    <w:p>
      <w:pPr>
        <w:pStyle w:val="47"/>
        <w:snapToGrid w:val="0"/>
        <w:spacing w:after="0" w:line="360" w:lineRule="auto"/>
        <w:ind w:left="0" w:leftChars="0" w:firstLine="562"/>
        <w:rPr>
          <w:rFonts w:ascii="仿宋_GB2312" w:eastAsia="仿宋_GB2312"/>
          <w:color w:val="000000" w:themeColor="text1"/>
          <w:sz w:val="28"/>
          <w:szCs w:val="28"/>
        </w:rPr>
      </w:pPr>
      <w:r>
        <w:rPr>
          <w:rStyle w:val="29"/>
          <w:rFonts w:hint="eastAsia" w:ascii="仿宋_GB2312" w:eastAsia="仿宋_GB2312"/>
          <w:color w:val="000000" w:themeColor="text1"/>
          <w:sz w:val="28"/>
          <w:szCs w:val="28"/>
          <w:shd w:val="clear" w:color="auto" w:fill="FFFFFF"/>
        </w:rPr>
        <w:t>1</w:t>
      </w:r>
      <w:r>
        <w:rPr>
          <w:rStyle w:val="29"/>
          <w:rFonts w:ascii="仿宋_GB2312" w:eastAsia="仿宋_GB2312"/>
          <w:color w:val="000000" w:themeColor="text1"/>
          <w:sz w:val="28"/>
          <w:szCs w:val="28"/>
          <w:shd w:val="clear" w:color="auto" w:fill="FFFFFF"/>
        </w:rPr>
        <w:t>1.</w:t>
      </w:r>
      <w:r>
        <w:rPr>
          <w:rFonts w:hint="eastAsia" w:ascii="仿宋_GB2312" w:eastAsia="仿宋_GB2312"/>
          <w:color w:val="000000" w:themeColor="text1"/>
          <w:sz w:val="28"/>
          <w:szCs w:val="28"/>
          <w:shd w:val="clear" w:color="auto" w:fill="FFFFFF"/>
        </w:rPr>
        <w:t>保安员不得有下列行为：</w:t>
      </w:r>
      <w:r>
        <w:rPr>
          <w:rFonts w:hint="eastAsia" w:ascii="仿宋_GB2312" w:eastAsia="仿宋_GB2312"/>
          <w:color w:val="000000" w:themeColor="text1"/>
          <w:sz w:val="28"/>
          <w:szCs w:val="28"/>
        </w:rPr>
        <w:br w:type="textWrapping"/>
      </w:r>
      <w:r>
        <w:rPr>
          <w:rFonts w:hint="eastAsia" w:ascii="仿宋_GB2312" w:eastAsia="仿宋_GB2312"/>
          <w:color w:val="000000" w:themeColor="text1"/>
          <w:sz w:val="28"/>
          <w:szCs w:val="28"/>
          <w:shd w:val="clear" w:color="auto" w:fill="FFFFFF"/>
        </w:rPr>
        <w:t>　　（一）限制他人人身自由、搜查他人身体或者侮辱、殴打他人；</w:t>
      </w:r>
      <w:r>
        <w:rPr>
          <w:rFonts w:hint="eastAsia" w:ascii="仿宋_GB2312" w:eastAsia="仿宋_GB2312"/>
          <w:color w:val="000000" w:themeColor="text1"/>
          <w:sz w:val="28"/>
          <w:szCs w:val="28"/>
        </w:rPr>
        <w:br w:type="textWrapping"/>
      </w:r>
      <w:r>
        <w:rPr>
          <w:rFonts w:hint="eastAsia" w:ascii="仿宋_GB2312" w:eastAsia="仿宋_GB2312"/>
          <w:color w:val="000000" w:themeColor="text1"/>
          <w:sz w:val="28"/>
          <w:szCs w:val="28"/>
          <w:shd w:val="clear" w:color="auto" w:fill="FFFFFF"/>
        </w:rPr>
        <w:t>　　（二）扣押、没收他人证件、财物；</w:t>
      </w:r>
      <w:r>
        <w:rPr>
          <w:rFonts w:hint="eastAsia" w:ascii="仿宋_GB2312" w:eastAsia="仿宋_GB2312"/>
          <w:color w:val="000000" w:themeColor="text1"/>
          <w:sz w:val="28"/>
          <w:szCs w:val="28"/>
        </w:rPr>
        <w:br w:type="textWrapping"/>
      </w:r>
      <w:r>
        <w:rPr>
          <w:rFonts w:hint="eastAsia" w:ascii="仿宋_GB2312" w:eastAsia="仿宋_GB2312"/>
          <w:color w:val="000000" w:themeColor="text1"/>
          <w:sz w:val="28"/>
          <w:szCs w:val="28"/>
          <w:shd w:val="clear" w:color="auto" w:fill="FFFFFF"/>
        </w:rPr>
        <w:t>　　（三）阻碍依法执行公务；</w:t>
      </w:r>
      <w:r>
        <w:rPr>
          <w:rFonts w:hint="eastAsia" w:ascii="仿宋_GB2312" w:eastAsia="仿宋_GB2312"/>
          <w:color w:val="000000" w:themeColor="text1"/>
          <w:sz w:val="28"/>
          <w:szCs w:val="28"/>
        </w:rPr>
        <w:br w:type="textWrapping"/>
      </w:r>
      <w:r>
        <w:rPr>
          <w:rFonts w:hint="eastAsia" w:ascii="仿宋_GB2312" w:eastAsia="仿宋_GB2312"/>
          <w:color w:val="000000" w:themeColor="text1"/>
          <w:sz w:val="28"/>
          <w:szCs w:val="28"/>
          <w:shd w:val="clear" w:color="auto" w:fill="FFFFFF"/>
        </w:rPr>
        <w:t>　　（四）参与追索债务、采用暴力或者以暴力相威胁的手段处置纠纷；</w:t>
      </w:r>
    </w:p>
    <w:p>
      <w:pPr>
        <w:pStyle w:val="47"/>
        <w:snapToGrid w:val="0"/>
        <w:spacing w:after="0" w:line="360" w:lineRule="auto"/>
        <w:ind w:left="0" w:leftChars="0" w:firstLine="560"/>
        <w:rPr>
          <w:rFonts w:ascii="仿宋_GB2312" w:hAnsi="仿宋" w:eastAsia="仿宋_GB2312" w:cs="仿宋"/>
          <w:color w:val="000000" w:themeColor="text1"/>
          <w:sz w:val="28"/>
          <w:szCs w:val="28"/>
        </w:rPr>
      </w:pPr>
      <w:r>
        <w:rPr>
          <w:rFonts w:hint="eastAsia" w:ascii="仿宋_GB2312" w:eastAsia="仿宋_GB2312"/>
          <w:color w:val="000000" w:themeColor="text1"/>
          <w:sz w:val="28"/>
          <w:szCs w:val="28"/>
          <w:shd w:val="clear" w:color="auto" w:fill="FFFFFF"/>
        </w:rPr>
        <w:t>（五）删改或者扩散保安服务中形成的监控影像资料、报警记录；</w:t>
      </w:r>
      <w:r>
        <w:rPr>
          <w:rFonts w:hint="eastAsia" w:ascii="仿宋_GB2312" w:eastAsia="仿宋_GB2312"/>
          <w:color w:val="000000" w:themeColor="text1"/>
          <w:sz w:val="28"/>
          <w:szCs w:val="28"/>
        </w:rPr>
        <w:br w:type="textWrapping"/>
      </w:r>
      <w:r>
        <w:rPr>
          <w:rFonts w:hint="eastAsia" w:ascii="仿宋_GB2312" w:eastAsia="仿宋_GB2312"/>
          <w:color w:val="000000" w:themeColor="text1"/>
          <w:sz w:val="28"/>
          <w:szCs w:val="28"/>
          <w:shd w:val="clear" w:color="auto" w:fill="FFFFFF"/>
        </w:rPr>
        <w:t>　　（六）侵犯个人隐私或者泄露在保安服务中获知的国家秘密、商业秘密以及客户单位明确要求保密的信息；</w:t>
      </w:r>
      <w:r>
        <w:rPr>
          <w:rFonts w:hint="eastAsia" w:ascii="仿宋_GB2312" w:eastAsia="仿宋_GB2312"/>
          <w:color w:val="000000" w:themeColor="text1"/>
          <w:sz w:val="28"/>
          <w:szCs w:val="28"/>
        </w:rPr>
        <w:br w:type="textWrapping"/>
      </w:r>
      <w:r>
        <w:rPr>
          <w:rFonts w:hint="eastAsia" w:ascii="仿宋_GB2312" w:eastAsia="仿宋_GB2312"/>
          <w:color w:val="000000" w:themeColor="text1"/>
          <w:sz w:val="28"/>
          <w:szCs w:val="28"/>
          <w:shd w:val="clear" w:color="auto" w:fill="FFFFFF"/>
        </w:rPr>
        <w:t>　　（七）违反法律、行政法规的其他行为。</w:t>
      </w:r>
    </w:p>
    <w:p>
      <w:pPr>
        <w:snapToGrid w:val="0"/>
        <w:spacing w:beforeLines="50" w:line="360" w:lineRule="auto"/>
        <w:ind w:firstLine="562" w:firstLineChars="200"/>
        <w:rPr>
          <w:rFonts w:ascii="仿宋_GB2312" w:hAnsi="仿宋" w:eastAsia="仿宋_GB2312" w:cs="仿宋"/>
          <w:b/>
          <w:color w:val="000000" w:themeColor="text1"/>
          <w:sz w:val="28"/>
          <w:szCs w:val="28"/>
        </w:rPr>
      </w:pPr>
      <w:r>
        <w:rPr>
          <w:rFonts w:hint="eastAsia" w:ascii="仿宋_GB2312" w:hAnsi="仿宋" w:eastAsia="仿宋_GB2312" w:cs="仿宋"/>
          <w:b/>
          <w:color w:val="000000" w:themeColor="text1"/>
          <w:sz w:val="28"/>
          <w:szCs w:val="28"/>
        </w:rPr>
        <w:t>根据《北京市公共安全图像信息系统管理办法》（北京市人民政府第 185 号令）：</w:t>
      </w:r>
    </w:p>
    <w:p>
      <w:pPr>
        <w:pStyle w:val="47"/>
        <w:snapToGrid w:val="0"/>
        <w:spacing w:after="0" w:line="360" w:lineRule="auto"/>
        <w:ind w:left="0" w:leftChars="0" w:firstLine="560"/>
        <w:rPr>
          <w:rFonts w:ascii="仿宋_GB2312" w:hAnsi="仿宋" w:eastAsia="仿宋_GB2312" w:cs="仿宋"/>
          <w:b/>
          <w:bCs/>
          <w:color w:val="000000" w:themeColor="text1"/>
          <w:sz w:val="28"/>
          <w:szCs w:val="28"/>
        </w:rPr>
      </w:pPr>
      <w:r>
        <w:rPr>
          <w:rFonts w:hint="eastAsia" w:ascii="仿宋_GB2312" w:hAnsi="仿宋" w:eastAsia="仿宋_GB2312" w:cs="仿宋"/>
          <w:color w:val="000000" w:themeColor="text1"/>
          <w:sz w:val="28"/>
          <w:szCs w:val="28"/>
        </w:rPr>
        <w:t>1</w:t>
      </w:r>
      <w:r>
        <w:rPr>
          <w:rFonts w:ascii="仿宋_GB2312" w:hAnsi="仿宋" w:eastAsia="仿宋_GB2312" w:cs="仿宋"/>
          <w:color w:val="000000" w:themeColor="text1"/>
          <w:sz w:val="28"/>
          <w:szCs w:val="28"/>
        </w:rPr>
        <w:t>.设置公共安全图像信息系统，不得侵犯公民个人隐私；对涉及公民个人隐私的图像信息，应当采取保密措施。</w:t>
      </w:r>
    </w:p>
    <w:p>
      <w:pPr>
        <w:pStyle w:val="47"/>
        <w:snapToGrid w:val="0"/>
        <w:spacing w:after="0" w:line="360" w:lineRule="auto"/>
        <w:ind w:left="0" w:leftChars="0" w:firstLine="56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2</w:t>
      </w:r>
      <w:r>
        <w:rPr>
          <w:rFonts w:ascii="仿宋_GB2312" w:hAnsi="仿宋" w:eastAsia="仿宋_GB2312" w:cs="仿宋"/>
          <w:color w:val="000000" w:themeColor="text1"/>
          <w:sz w:val="28"/>
          <w:szCs w:val="28"/>
        </w:rPr>
        <w:t>.公共安全图像信息系统的使用单位，应当自系统竣工验收合格之日起30日内，将公共安全图像信息系统的建设情况按照保卫隶属关系向市或者区、县公安机关备案；没有保卫隶属关系的，向本单位所在地的区、县公安机关备案。</w:t>
      </w:r>
    </w:p>
    <w:p>
      <w:pPr>
        <w:pStyle w:val="47"/>
        <w:snapToGrid w:val="0"/>
        <w:spacing w:after="0" w:line="360" w:lineRule="auto"/>
        <w:ind w:left="0" w:leftChars="0" w:firstLine="560"/>
        <w:rPr>
          <w:rFonts w:ascii="仿宋_GB2312" w:hAnsi="仿宋" w:eastAsia="仿宋_GB2312" w:cs="仿宋"/>
          <w:b/>
          <w:bCs/>
          <w:color w:val="000000" w:themeColor="text1"/>
          <w:sz w:val="28"/>
          <w:szCs w:val="28"/>
        </w:rPr>
      </w:pPr>
      <w:r>
        <w:rPr>
          <w:rFonts w:hint="eastAsia" w:ascii="仿宋_GB2312" w:hAnsi="仿宋" w:eastAsia="仿宋_GB2312" w:cs="仿宋"/>
          <w:color w:val="000000" w:themeColor="text1"/>
          <w:sz w:val="28"/>
          <w:szCs w:val="28"/>
        </w:rPr>
        <w:t>3</w:t>
      </w:r>
      <w:r>
        <w:rPr>
          <w:rFonts w:ascii="仿宋_GB2312" w:hAnsi="仿宋" w:eastAsia="仿宋_GB2312" w:cs="仿宋"/>
          <w:color w:val="000000" w:themeColor="text1"/>
          <w:sz w:val="28"/>
          <w:szCs w:val="28"/>
        </w:rPr>
        <w:t>.公共安全图像信息系统的使用单位，应当采取下列措施，保证公共安全图像信息系统安全运行：</w:t>
      </w:r>
    </w:p>
    <w:p>
      <w:pPr>
        <w:shd w:val="clear" w:color="auto" w:fill="FFFFFF"/>
        <w:snapToGrid w:val="0"/>
        <w:spacing w:line="360" w:lineRule="auto"/>
        <w:ind w:firstLine="480"/>
        <w:rPr>
          <w:rFonts w:ascii="仿宋_GB2312" w:hAnsi="仿宋" w:eastAsia="仿宋_GB2312" w:cs="仿宋"/>
          <w:color w:val="000000" w:themeColor="text1"/>
          <w:sz w:val="28"/>
          <w:szCs w:val="28"/>
        </w:rPr>
      </w:pPr>
      <w:r>
        <w:rPr>
          <w:rFonts w:ascii="仿宋_GB2312" w:hAnsi="仿宋" w:eastAsia="仿宋_GB2312" w:cs="仿宋"/>
          <w:color w:val="000000" w:themeColor="text1"/>
          <w:sz w:val="28"/>
          <w:szCs w:val="28"/>
        </w:rPr>
        <w:t>（一）对与公共安全图像信息系统密切接触的人员进行岗位技能和保密知识的培训；</w:t>
      </w:r>
    </w:p>
    <w:p>
      <w:pPr>
        <w:shd w:val="clear" w:color="auto" w:fill="FFFFFF"/>
        <w:snapToGrid w:val="0"/>
        <w:spacing w:line="360" w:lineRule="auto"/>
        <w:ind w:firstLine="480"/>
        <w:rPr>
          <w:rFonts w:ascii="仿宋_GB2312" w:hAnsi="仿宋" w:eastAsia="仿宋_GB2312" w:cs="仿宋"/>
          <w:color w:val="000000" w:themeColor="text1"/>
          <w:sz w:val="28"/>
          <w:szCs w:val="28"/>
        </w:rPr>
      </w:pPr>
      <w:r>
        <w:rPr>
          <w:rFonts w:ascii="仿宋_GB2312" w:hAnsi="仿宋" w:eastAsia="仿宋_GB2312" w:cs="仿宋"/>
          <w:color w:val="000000" w:themeColor="text1"/>
          <w:sz w:val="28"/>
          <w:szCs w:val="28"/>
        </w:rPr>
        <w:t>（二）建立安全检查、运行维护、应急处理等制度；</w:t>
      </w:r>
    </w:p>
    <w:p>
      <w:pPr>
        <w:shd w:val="clear" w:color="auto" w:fill="FFFFFF"/>
        <w:snapToGrid w:val="0"/>
        <w:spacing w:line="360" w:lineRule="auto"/>
        <w:ind w:firstLine="480"/>
        <w:rPr>
          <w:rFonts w:ascii="仿宋_GB2312" w:hAnsi="仿宋" w:eastAsia="仿宋_GB2312" w:cs="仿宋"/>
          <w:color w:val="000000" w:themeColor="text1"/>
          <w:sz w:val="28"/>
          <w:szCs w:val="28"/>
        </w:rPr>
      </w:pPr>
      <w:r>
        <w:rPr>
          <w:rFonts w:ascii="仿宋_GB2312" w:hAnsi="仿宋" w:eastAsia="仿宋_GB2312" w:cs="仿宋"/>
          <w:color w:val="000000" w:themeColor="text1"/>
          <w:sz w:val="28"/>
          <w:szCs w:val="28"/>
        </w:rPr>
        <w:t>（三）保持图像信息画面清晰，保证系统正常运行；</w:t>
      </w:r>
    </w:p>
    <w:p>
      <w:pPr>
        <w:shd w:val="clear" w:color="auto" w:fill="FFFFFF"/>
        <w:snapToGrid w:val="0"/>
        <w:spacing w:line="360" w:lineRule="auto"/>
        <w:ind w:firstLine="480"/>
        <w:rPr>
          <w:rFonts w:ascii="仿宋_GB2312" w:hAnsi="仿宋" w:eastAsia="仿宋_GB2312" w:cs="仿宋"/>
          <w:color w:val="000000" w:themeColor="text1"/>
          <w:sz w:val="28"/>
          <w:szCs w:val="28"/>
        </w:rPr>
      </w:pPr>
      <w:r>
        <w:rPr>
          <w:rFonts w:ascii="仿宋_GB2312" w:hAnsi="仿宋" w:eastAsia="仿宋_GB2312" w:cs="仿宋"/>
          <w:color w:val="000000" w:themeColor="text1"/>
          <w:sz w:val="28"/>
          <w:szCs w:val="28"/>
        </w:rPr>
        <w:t>（四）不得擅自改变公共安全图像信息系统的用途和摄像设备的位置。</w:t>
      </w:r>
    </w:p>
    <w:p>
      <w:pPr>
        <w:shd w:val="clear" w:color="auto" w:fill="FFFFFF"/>
        <w:snapToGrid w:val="0"/>
        <w:spacing w:line="360" w:lineRule="auto"/>
        <w:ind w:firstLine="480"/>
        <w:rPr>
          <w:rFonts w:ascii="仿宋_GB2312" w:hAnsi="仿宋" w:eastAsia="仿宋_GB2312" w:cs="仿宋"/>
          <w:color w:val="000000" w:themeColor="text1"/>
          <w:sz w:val="28"/>
          <w:szCs w:val="28"/>
        </w:rPr>
      </w:pPr>
      <w:r>
        <w:rPr>
          <w:rFonts w:ascii="仿宋_GB2312" w:hAnsi="仿宋" w:eastAsia="仿宋_GB2312" w:cs="仿宋"/>
          <w:color w:val="000000" w:themeColor="text1"/>
          <w:sz w:val="28"/>
          <w:szCs w:val="28"/>
        </w:rPr>
        <w:t>使用单位委托其他单位运营、维护、管理公共安全图像信息系统的，双方应当明确保证系统安全运行的责任。</w:t>
      </w:r>
    </w:p>
    <w:p>
      <w:pPr>
        <w:shd w:val="clear" w:color="auto" w:fill="FFFFFF"/>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4</w:t>
      </w:r>
      <w:r>
        <w:rPr>
          <w:rFonts w:ascii="仿宋_GB2312" w:hAnsi="仿宋" w:eastAsia="仿宋_GB2312" w:cs="仿宋"/>
          <w:color w:val="000000" w:themeColor="text1"/>
          <w:sz w:val="28"/>
          <w:szCs w:val="28"/>
        </w:rPr>
        <w:t>.公共安全图像信息系统的使用单位，应当建立、健全图像信息安全管理制度，遵守下列规定：</w:t>
      </w:r>
    </w:p>
    <w:p>
      <w:pPr>
        <w:shd w:val="clear" w:color="auto" w:fill="FFFFFF"/>
        <w:snapToGrid w:val="0"/>
        <w:spacing w:line="360" w:lineRule="auto"/>
        <w:ind w:firstLine="480"/>
        <w:rPr>
          <w:rFonts w:ascii="仿宋_GB2312" w:hAnsi="仿宋" w:eastAsia="仿宋_GB2312" w:cs="仿宋"/>
          <w:color w:val="000000" w:themeColor="text1"/>
          <w:sz w:val="28"/>
          <w:szCs w:val="28"/>
        </w:rPr>
      </w:pPr>
      <w:r>
        <w:rPr>
          <w:rFonts w:ascii="仿宋_GB2312" w:hAnsi="仿宋" w:eastAsia="仿宋_GB2312" w:cs="仿宋"/>
          <w:color w:val="000000" w:themeColor="text1"/>
          <w:sz w:val="28"/>
          <w:szCs w:val="28"/>
        </w:rPr>
        <w:t>（一）建立值班监看制度，发现涉及公共安全的可疑信息及时向公安机关报告；</w:t>
      </w:r>
    </w:p>
    <w:p>
      <w:pPr>
        <w:shd w:val="clear" w:color="auto" w:fill="FFFFFF"/>
        <w:snapToGrid w:val="0"/>
        <w:spacing w:line="360" w:lineRule="auto"/>
        <w:ind w:firstLine="480"/>
        <w:rPr>
          <w:rFonts w:ascii="仿宋_GB2312" w:hAnsi="仿宋" w:eastAsia="仿宋_GB2312" w:cs="仿宋"/>
          <w:color w:val="000000" w:themeColor="text1"/>
          <w:sz w:val="28"/>
          <w:szCs w:val="28"/>
        </w:rPr>
      </w:pPr>
      <w:r>
        <w:rPr>
          <w:rFonts w:ascii="仿宋_GB2312" w:hAnsi="仿宋" w:eastAsia="仿宋_GB2312" w:cs="仿宋"/>
          <w:color w:val="000000" w:themeColor="text1"/>
          <w:sz w:val="28"/>
          <w:szCs w:val="28"/>
        </w:rPr>
        <w:t>（二）建立图像信息使用登记制度，对图像信息的录制人员、调取时间、调取用途等事项进行登记；</w:t>
      </w:r>
    </w:p>
    <w:p>
      <w:pPr>
        <w:shd w:val="clear" w:color="auto" w:fill="FFFFFF"/>
        <w:snapToGrid w:val="0"/>
        <w:spacing w:line="360" w:lineRule="auto"/>
        <w:ind w:firstLine="480"/>
        <w:rPr>
          <w:rFonts w:ascii="仿宋_GB2312" w:hAnsi="仿宋" w:eastAsia="仿宋_GB2312" w:cs="仿宋"/>
          <w:color w:val="000000" w:themeColor="text1"/>
          <w:sz w:val="28"/>
          <w:szCs w:val="28"/>
        </w:rPr>
      </w:pPr>
      <w:r>
        <w:rPr>
          <w:rFonts w:ascii="仿宋_GB2312" w:hAnsi="仿宋" w:eastAsia="仿宋_GB2312" w:cs="仿宋"/>
          <w:color w:val="000000" w:themeColor="text1"/>
          <w:sz w:val="28"/>
          <w:szCs w:val="28"/>
        </w:rPr>
        <w:t>（三）按照规定期限留存图像信息，不得擅自删改、破坏留存期限内图像信息的原始数据记录。</w:t>
      </w:r>
    </w:p>
    <w:p>
      <w:pPr>
        <w:shd w:val="clear" w:color="auto" w:fill="FFFFFF"/>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5</w:t>
      </w:r>
      <w:r>
        <w:rPr>
          <w:rFonts w:ascii="仿宋_GB2312" w:hAnsi="仿宋" w:eastAsia="仿宋_GB2312" w:cs="仿宋"/>
          <w:color w:val="000000" w:themeColor="text1"/>
          <w:sz w:val="28"/>
          <w:szCs w:val="28"/>
        </w:rPr>
        <w:t>.与图像信息监看工作无关的人员不得擅自进入监看场所。留存的图像信息除按照本办法的规定使用外，任何人不得擅自查阅、复制、提供、传播。</w:t>
      </w:r>
    </w:p>
    <w:p>
      <w:pPr>
        <w:shd w:val="clear" w:color="auto" w:fill="FFFFFF"/>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6</w:t>
      </w:r>
      <w:r>
        <w:rPr>
          <w:rFonts w:ascii="仿宋_GB2312" w:hAnsi="仿宋" w:eastAsia="仿宋_GB2312" w:cs="仿宋"/>
          <w:color w:val="000000" w:themeColor="text1"/>
          <w:sz w:val="28"/>
          <w:szCs w:val="28"/>
        </w:rPr>
        <w:t>.在公共场所设置公共安全图像信息系统，应当设置标识。</w:t>
      </w:r>
    </w:p>
    <w:p>
      <w:pPr>
        <w:shd w:val="clear" w:color="auto" w:fill="FFFFFF"/>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7</w:t>
      </w:r>
      <w:r>
        <w:rPr>
          <w:rFonts w:ascii="仿宋_GB2312" w:hAnsi="仿宋" w:eastAsia="仿宋_GB2312" w:cs="仿宋"/>
          <w:color w:val="000000" w:themeColor="text1"/>
          <w:sz w:val="28"/>
          <w:szCs w:val="28"/>
        </w:rPr>
        <w:t>.</w:t>
      </w:r>
      <w:r>
        <w:rPr>
          <w:rFonts w:hint="eastAsia" w:ascii="仿宋_GB2312" w:hAnsi="仿宋" w:eastAsia="仿宋_GB2312" w:cs="仿宋"/>
          <w:color w:val="000000" w:themeColor="text1"/>
          <w:sz w:val="28"/>
          <w:szCs w:val="28"/>
        </w:rPr>
        <w:t>发</w:t>
      </w:r>
      <w:r>
        <w:rPr>
          <w:rFonts w:ascii="仿宋_GB2312" w:hAnsi="仿宋" w:eastAsia="仿宋_GB2312" w:cs="仿宋"/>
          <w:color w:val="000000" w:themeColor="text1"/>
          <w:sz w:val="28"/>
          <w:szCs w:val="28"/>
        </w:rPr>
        <w:t>生社会治安、自然灾害、事故灾难、公共卫生等</w:t>
      </w:r>
      <w:r>
        <w:fldChar w:fldCharType="begin"/>
      </w:r>
      <w:r>
        <w:instrText xml:space="preserve"> HYPERLINK "https://baike.baidu.com/item/%E7%AA%81%E5%8F%91%E5%85%AC%E5%85%B1%E4%BA%8B%E4%BB%B6/2999576?fromModule=lemma_inlink" \t "_blank" </w:instrText>
      </w:r>
      <w:r>
        <w:fldChar w:fldCharType="separate"/>
      </w:r>
      <w:r>
        <w:rPr>
          <w:rFonts w:ascii="仿宋_GB2312" w:hAnsi="仿宋" w:eastAsia="仿宋_GB2312" w:cs="仿宋"/>
          <w:color w:val="000000" w:themeColor="text1"/>
          <w:sz w:val="28"/>
          <w:szCs w:val="28"/>
        </w:rPr>
        <w:t>突发公共事件</w:t>
      </w:r>
      <w:r>
        <w:rPr>
          <w:rFonts w:ascii="仿宋_GB2312" w:hAnsi="仿宋" w:eastAsia="仿宋_GB2312" w:cs="仿宋"/>
          <w:color w:val="000000" w:themeColor="text1"/>
          <w:sz w:val="28"/>
          <w:szCs w:val="28"/>
        </w:rPr>
        <w:fldChar w:fldCharType="end"/>
      </w:r>
      <w:r>
        <w:rPr>
          <w:rFonts w:ascii="仿宋_GB2312" w:hAnsi="仿宋" w:eastAsia="仿宋_GB2312" w:cs="仿宋"/>
          <w:color w:val="000000" w:themeColor="text1"/>
          <w:sz w:val="28"/>
          <w:szCs w:val="28"/>
        </w:rPr>
        <w:t>时，具有突发公共事件调查、处置权的政府有关主管部门有权查看、调取、复制图像信息，有关单位应当予以配合。</w:t>
      </w:r>
    </w:p>
    <w:p>
      <w:pPr>
        <w:pStyle w:val="23"/>
        <w:shd w:val="clear" w:color="auto" w:fill="FFFFFF"/>
        <w:snapToGrid w:val="0"/>
        <w:spacing w:beforeLines="50" w:beforeAutospacing="0" w:after="0" w:afterAutospacing="0" w:line="360" w:lineRule="auto"/>
        <w:ind w:firstLine="562" w:firstLineChars="200"/>
        <w:rPr>
          <w:rFonts w:ascii="仿宋_GB2312" w:hAnsi="仿宋" w:eastAsia="仿宋_GB2312" w:cs="仿宋"/>
          <w:b/>
          <w:color w:val="000000" w:themeColor="text1"/>
          <w:kern w:val="2"/>
          <w:sz w:val="28"/>
          <w:szCs w:val="28"/>
        </w:rPr>
      </w:pPr>
      <w:r>
        <w:rPr>
          <w:rFonts w:hint="eastAsia" w:ascii="仿宋_GB2312" w:hAnsi="仿宋" w:eastAsia="仿宋_GB2312" w:cs="仿宋"/>
          <w:b/>
          <w:color w:val="000000" w:themeColor="text1"/>
          <w:kern w:val="2"/>
          <w:sz w:val="28"/>
          <w:szCs w:val="28"/>
        </w:rPr>
        <w:t>根据《</w:t>
      </w:r>
      <w:r>
        <w:rPr>
          <w:rFonts w:ascii="仿宋_GB2312" w:hAnsi="仿宋" w:eastAsia="仿宋_GB2312" w:cs="仿宋"/>
          <w:b/>
          <w:color w:val="000000" w:themeColor="text1"/>
          <w:kern w:val="2"/>
          <w:sz w:val="28"/>
          <w:szCs w:val="28"/>
        </w:rPr>
        <w:t>最高人民法院关于审理使用人脸识别技术处理个人信息相关民事案件适用法律若干问题的规定</w:t>
      </w:r>
      <w:r>
        <w:rPr>
          <w:rFonts w:hint="eastAsia" w:ascii="仿宋_GB2312" w:hAnsi="仿宋" w:eastAsia="仿宋_GB2312" w:cs="仿宋"/>
          <w:b/>
          <w:color w:val="000000" w:themeColor="text1"/>
          <w:kern w:val="2"/>
          <w:sz w:val="28"/>
          <w:szCs w:val="28"/>
        </w:rPr>
        <w:t>》（</w:t>
      </w:r>
      <w:r>
        <w:rPr>
          <w:rFonts w:ascii="Calibri" w:hAnsi="Calibri" w:eastAsia="仿宋_GB2312" w:cs="Calibri"/>
          <w:b/>
          <w:color w:val="000000" w:themeColor="text1"/>
          <w:kern w:val="2"/>
          <w:sz w:val="28"/>
          <w:szCs w:val="28"/>
        </w:rPr>
        <w:t> </w:t>
      </w:r>
      <w:r>
        <w:rPr>
          <w:rFonts w:hint="eastAsia" w:ascii="仿宋_GB2312" w:hAnsi="仿宋" w:eastAsia="仿宋_GB2312" w:cs="仿宋"/>
          <w:b/>
          <w:color w:val="000000" w:themeColor="text1"/>
          <w:kern w:val="2"/>
          <w:sz w:val="28"/>
          <w:szCs w:val="28"/>
        </w:rPr>
        <w:t>法释〔2021〕15号）：</w:t>
      </w:r>
    </w:p>
    <w:p>
      <w:pPr>
        <w:shd w:val="clear" w:color="auto" w:fill="FFFFFF"/>
        <w:snapToGrid w:val="0"/>
        <w:spacing w:line="360" w:lineRule="auto"/>
        <w:ind w:firstLine="482"/>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第二条</w:t>
      </w:r>
      <w:r>
        <w:rPr>
          <w:rFonts w:ascii="Calibri" w:hAnsi="Calibri" w:eastAsia="仿宋_GB2312" w:cs="Calibri"/>
          <w:color w:val="000000" w:themeColor="text1"/>
          <w:sz w:val="28"/>
          <w:szCs w:val="28"/>
        </w:rPr>
        <w:t> </w:t>
      </w:r>
      <w:r>
        <w:rPr>
          <w:rFonts w:hint="eastAsia" w:ascii="仿宋_GB2312" w:hAnsi="仿宋" w:eastAsia="仿宋_GB2312" w:cs="仿宋"/>
          <w:color w:val="000000" w:themeColor="text1"/>
          <w:sz w:val="28"/>
          <w:szCs w:val="28"/>
        </w:rPr>
        <w:t xml:space="preserve"> 信息处理者处理人脸信息有下列情形之一的，人民法院应当认定属于侵害自然人人格权益的行为：</w:t>
      </w:r>
      <w:r>
        <w:rPr>
          <w:rFonts w:hint="eastAsia" w:ascii="仿宋_GB2312" w:hAnsi="仿宋" w:eastAsia="仿宋_GB2312" w:cs="仿宋"/>
          <w:color w:val="000000" w:themeColor="text1"/>
          <w:sz w:val="28"/>
          <w:szCs w:val="28"/>
        </w:rPr>
        <w:br w:type="textWrapping"/>
      </w:r>
      <w:r>
        <w:rPr>
          <w:rFonts w:hint="eastAsia" w:ascii="仿宋_GB2312" w:hAnsi="仿宋" w:eastAsia="仿宋_GB2312" w:cs="仿宋"/>
          <w:color w:val="000000" w:themeColor="text1"/>
          <w:sz w:val="28"/>
          <w:szCs w:val="28"/>
        </w:rPr>
        <w:t>　　（一）在宾馆、商场、银行、车站、机场、体育场馆、娱乐场所等经营场所、公共场所违反法律、行政法规的规定使用人脸识别技术进行人脸验证、辨识或者分析；</w:t>
      </w:r>
      <w:r>
        <w:rPr>
          <w:rFonts w:hint="eastAsia" w:ascii="仿宋_GB2312" w:hAnsi="仿宋" w:eastAsia="仿宋_GB2312" w:cs="仿宋"/>
          <w:color w:val="000000" w:themeColor="text1"/>
          <w:sz w:val="28"/>
          <w:szCs w:val="28"/>
        </w:rPr>
        <w:br w:type="textWrapping"/>
      </w:r>
      <w:r>
        <w:rPr>
          <w:rFonts w:hint="eastAsia" w:ascii="仿宋_GB2312" w:hAnsi="仿宋" w:eastAsia="仿宋_GB2312" w:cs="仿宋"/>
          <w:color w:val="000000" w:themeColor="text1"/>
          <w:sz w:val="28"/>
          <w:szCs w:val="28"/>
        </w:rPr>
        <w:t>　　（二）未公开处理人脸信息的规则或者未明示处理的目的、方式、范围；</w:t>
      </w:r>
      <w:r>
        <w:rPr>
          <w:rFonts w:hint="eastAsia" w:ascii="仿宋_GB2312" w:hAnsi="仿宋" w:eastAsia="仿宋_GB2312" w:cs="仿宋"/>
          <w:color w:val="000000" w:themeColor="text1"/>
          <w:sz w:val="28"/>
          <w:szCs w:val="28"/>
        </w:rPr>
        <w:br w:type="textWrapping"/>
      </w:r>
      <w:r>
        <w:rPr>
          <w:rFonts w:hint="eastAsia" w:ascii="仿宋_GB2312" w:hAnsi="仿宋" w:eastAsia="仿宋_GB2312" w:cs="仿宋"/>
          <w:color w:val="000000" w:themeColor="text1"/>
          <w:sz w:val="28"/>
          <w:szCs w:val="28"/>
        </w:rPr>
        <w:t>　　（三）基于个人同意处理人脸信息的，未征得自然人或者其监护人的单独同意，或者未按照法律、行政法规的规定征得自然人或者其监护人的书面同意；</w:t>
      </w:r>
      <w:r>
        <w:rPr>
          <w:rFonts w:hint="eastAsia" w:ascii="仿宋_GB2312" w:hAnsi="仿宋" w:eastAsia="仿宋_GB2312" w:cs="仿宋"/>
          <w:color w:val="000000" w:themeColor="text1"/>
          <w:sz w:val="28"/>
          <w:szCs w:val="28"/>
        </w:rPr>
        <w:br w:type="textWrapping"/>
      </w:r>
      <w:r>
        <w:rPr>
          <w:rFonts w:hint="eastAsia" w:ascii="仿宋_GB2312" w:hAnsi="仿宋" w:eastAsia="仿宋_GB2312" w:cs="仿宋"/>
          <w:color w:val="000000" w:themeColor="text1"/>
          <w:sz w:val="28"/>
          <w:szCs w:val="28"/>
        </w:rPr>
        <w:t>　　（四）违反信息处理者明示或者双方约定的处理人脸信息的目的、方式、范围等；</w:t>
      </w:r>
      <w:r>
        <w:rPr>
          <w:rFonts w:hint="eastAsia" w:ascii="仿宋_GB2312" w:hAnsi="仿宋" w:eastAsia="仿宋_GB2312" w:cs="仿宋"/>
          <w:color w:val="000000" w:themeColor="text1"/>
          <w:sz w:val="28"/>
          <w:szCs w:val="28"/>
        </w:rPr>
        <w:br w:type="textWrapping"/>
      </w:r>
      <w:r>
        <w:rPr>
          <w:rFonts w:hint="eastAsia" w:ascii="仿宋_GB2312" w:hAnsi="仿宋" w:eastAsia="仿宋_GB2312" w:cs="仿宋"/>
          <w:color w:val="000000" w:themeColor="text1"/>
          <w:sz w:val="28"/>
          <w:szCs w:val="28"/>
        </w:rPr>
        <w:t>　　（五）未采取应有的技术措施或者其他必要措施确保其收集、存储的人脸信息安全，致使人脸信息泄露、篡改、丢失；</w:t>
      </w:r>
      <w:r>
        <w:rPr>
          <w:rFonts w:hint="eastAsia" w:ascii="仿宋_GB2312" w:hAnsi="仿宋" w:eastAsia="仿宋_GB2312" w:cs="仿宋"/>
          <w:color w:val="000000" w:themeColor="text1"/>
          <w:sz w:val="28"/>
          <w:szCs w:val="28"/>
        </w:rPr>
        <w:br w:type="textWrapping"/>
      </w:r>
      <w:r>
        <w:rPr>
          <w:rFonts w:hint="eastAsia" w:ascii="仿宋_GB2312" w:hAnsi="仿宋" w:eastAsia="仿宋_GB2312" w:cs="仿宋"/>
          <w:color w:val="000000" w:themeColor="text1"/>
          <w:sz w:val="28"/>
          <w:szCs w:val="28"/>
        </w:rPr>
        <w:t>　　（六）违反法律、行政法规的规定或者双方的约定，向他人提供人脸信息；</w:t>
      </w:r>
      <w:r>
        <w:rPr>
          <w:rFonts w:hint="eastAsia" w:ascii="仿宋_GB2312" w:hAnsi="仿宋" w:eastAsia="仿宋_GB2312" w:cs="仿宋"/>
          <w:color w:val="000000" w:themeColor="text1"/>
          <w:sz w:val="28"/>
          <w:szCs w:val="28"/>
        </w:rPr>
        <w:br w:type="textWrapping"/>
      </w:r>
      <w:r>
        <w:rPr>
          <w:rFonts w:hint="eastAsia" w:ascii="仿宋_GB2312" w:hAnsi="仿宋" w:eastAsia="仿宋_GB2312" w:cs="仿宋"/>
          <w:color w:val="000000" w:themeColor="text1"/>
          <w:sz w:val="28"/>
          <w:szCs w:val="28"/>
        </w:rPr>
        <w:t>　　（七）违背公序良俗处理人脸信息；</w:t>
      </w:r>
      <w:r>
        <w:rPr>
          <w:rFonts w:hint="eastAsia" w:ascii="仿宋_GB2312" w:hAnsi="仿宋" w:eastAsia="仿宋_GB2312" w:cs="仿宋"/>
          <w:color w:val="000000" w:themeColor="text1"/>
          <w:sz w:val="28"/>
          <w:szCs w:val="28"/>
        </w:rPr>
        <w:br w:type="textWrapping"/>
      </w:r>
      <w:r>
        <w:rPr>
          <w:rFonts w:hint="eastAsia" w:ascii="仿宋_GB2312" w:hAnsi="仿宋" w:eastAsia="仿宋_GB2312" w:cs="仿宋"/>
          <w:color w:val="000000" w:themeColor="text1"/>
          <w:sz w:val="28"/>
          <w:szCs w:val="28"/>
        </w:rPr>
        <w:t>　　（八）违反合法、正当、必要原则处理人脸信息的其他情形。</w:t>
      </w:r>
    </w:p>
    <w:p>
      <w:pPr>
        <w:pStyle w:val="4"/>
        <w:snapToGrid w:val="0"/>
        <w:spacing w:before="312" w:after="312"/>
        <w:rPr>
          <w:color w:val="000000" w:themeColor="text1"/>
        </w:rPr>
      </w:pPr>
      <w:bookmarkStart w:id="85" w:name="_Toc150435253"/>
      <w:r>
        <w:rPr>
          <w:rFonts w:hint="eastAsia"/>
          <w:color w:val="000000" w:themeColor="text1"/>
          <w:lang w:eastAsia="zh-CN"/>
        </w:rPr>
        <w:t>（二）</w:t>
      </w:r>
      <w:r>
        <w:rPr>
          <w:rFonts w:hint="eastAsia"/>
          <w:color w:val="000000" w:themeColor="text1"/>
        </w:rPr>
        <w:t>服务标准</w:t>
      </w:r>
      <w:bookmarkEnd w:id="85"/>
    </w:p>
    <w:p>
      <w:pPr>
        <w:snapToGrid w:val="0"/>
        <w:spacing w:line="360" w:lineRule="auto"/>
        <w:ind w:firstLine="562" w:firstLineChars="200"/>
        <w:rPr>
          <w:rFonts w:ascii="仿宋_GB2312" w:hAnsi="方正仿宋_GB2312" w:eastAsia="仿宋_GB2312" w:cs="方正仿宋_GB2312"/>
          <w:b/>
          <w:color w:val="000000" w:themeColor="text1"/>
          <w:sz w:val="28"/>
          <w:szCs w:val="28"/>
        </w:rPr>
      </w:pPr>
      <w:r>
        <w:rPr>
          <w:rFonts w:hint="eastAsia" w:ascii="仿宋_GB2312" w:hAnsi="方正仿宋_GB2312" w:eastAsia="仿宋_GB2312" w:cs="方正仿宋_GB2312"/>
          <w:b/>
          <w:color w:val="000000" w:themeColor="text1"/>
          <w:sz w:val="28"/>
          <w:szCs w:val="28"/>
        </w:rPr>
        <w:t>根据《住宅物业服务标准》：</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1.主要出入口有人值守，有条件的可在非主要出入口安装无人值守系统设施设备。（一至二级）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主要出入口有专人24小时值守，有条件的可在非主要出入口安装无人值守系统设施设备。（三至五级）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2.制定巡查路线，每日对重点部位巡视检查，并做好记录。（一级）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制定巡查路线，巡视检查并做好记录。6:00至22:00巡视1次，22:00至次日6:00巡视1次。（二级）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制定巡查路线，巡视检查并做好记录。6:00至22:00巡视2次、22:00至次日6:00巡视1次。（三级）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制定巡查路线，巡视检查并做好记录。6:00至22:00巡视3次、其中楼内巡视1次；22:00至次日6:00巡视2次，夜间巡查2人同行。（四级）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制定巡查路线，巡视检查并做好记录。6:00至22:00巡视4次，其中楼内巡视2次；22:00至次日6:00巡视2次，夜间巡查2人同行。（五级）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3.巡视检查停车场，维护便民设备、道路、场地等使用秩序。（一至五级）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4.机动车进入及行驶进行管理</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（1）机动车辆凭卡证出入，或采用智能化系统进行管控；（一至五级）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（2）提示进入车辆在小区内安全行驶；（一至五级）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（3）限制超重、超高、超宽车辆的进入。（一至五级）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5.安防控制室管理</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（1）安防控制室设专人24小时值守，按规定配置人员，并做好值班记录；（一至五级）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（2）监控影像资料、报警记录应留存30日备查。（一至五级）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6.对违法建设、违规出租房屋、私拉电线、占用消防通道等行为进行劝阻、制止，劝阻、制止无效的，及时报告行政执法机关。（一至五级）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7.建立违法建设台账。（一至五级）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8.每年定期组织专项应急预案演习，做好记录。（一至五级）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9.发现有安全风险隐患的，及时设置警示标识，采取措施排除隐患或者向有关部门报告。（一至五级）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10.备勤人员24小时待岗。（三级）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备勤人员24小时待岗，人数不少于秩序维护专业人员的20%，配备必要的应急工具。（四级）</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备勤人员24小时待岗，人数不少于秩序维护人员的25%，配备必要的应急工具。（五级）</w:t>
      </w:r>
    </w:p>
    <w:p>
      <w:pPr>
        <w:pStyle w:val="4"/>
        <w:snapToGrid w:val="0"/>
        <w:spacing w:before="312" w:after="312"/>
        <w:rPr>
          <w:color w:val="000000" w:themeColor="text1"/>
        </w:rPr>
      </w:pPr>
      <w:bookmarkStart w:id="86" w:name="_Toc150435254"/>
      <w:r>
        <w:rPr>
          <w:rFonts w:hint="eastAsia"/>
          <w:color w:val="000000" w:themeColor="text1"/>
        </w:rPr>
        <w:t>（三）风险提示</w:t>
      </w:r>
      <w:bookmarkEnd w:id="86"/>
    </w:p>
    <w:p>
      <w:pPr>
        <w:snapToGrid w:val="0"/>
        <w:spacing w:beforeLines="50" w:line="360" w:lineRule="auto"/>
        <w:ind w:firstLine="562" w:firstLineChars="200"/>
        <w:rPr>
          <w:rFonts w:ascii="仿宋_GB2312" w:hAnsi="仿宋" w:eastAsia="仿宋_GB2312" w:cs="仿宋"/>
          <w:b/>
          <w:color w:val="000000" w:themeColor="text1"/>
          <w:sz w:val="28"/>
          <w:szCs w:val="28"/>
        </w:rPr>
      </w:pPr>
      <w:r>
        <w:rPr>
          <w:rFonts w:hint="eastAsia" w:ascii="仿宋_GB2312" w:hAnsi="仿宋" w:eastAsia="仿宋_GB2312" w:cs="仿宋"/>
          <w:b/>
          <w:color w:val="000000" w:themeColor="text1"/>
          <w:sz w:val="28"/>
          <w:szCs w:val="28"/>
        </w:rPr>
        <w:t>根据《保安服务管理条例》：</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1</w:t>
      </w:r>
      <w:r>
        <w:rPr>
          <w:rFonts w:ascii="仿宋_GB2312" w:hAnsi="仿宋" w:eastAsia="仿宋_GB2312" w:cs="仿宋"/>
          <w:color w:val="000000" w:themeColor="text1"/>
          <w:sz w:val="28"/>
          <w:szCs w:val="28"/>
        </w:rPr>
        <w:t>.</w:t>
      </w:r>
      <w:bookmarkStart w:id="87" w:name="_Hlk150341493"/>
      <w:r>
        <w:rPr>
          <w:rFonts w:hint="eastAsia" w:ascii="仿宋_GB2312" w:hAnsi="仿宋" w:eastAsia="仿宋_GB2312" w:cs="仿宋"/>
          <w:color w:val="000000" w:themeColor="text1"/>
          <w:sz w:val="28"/>
          <w:szCs w:val="28"/>
        </w:rPr>
        <w:t>物业服务人作为自招保安员单位不得违反《保安服务管理条例》，存在以下情形的，公安机关有权责令限期改正，给予警告；情节严重的，并处1万元以上5万元以下的罚款；有违法所得的，没收违法所得</w:t>
      </w:r>
      <w:bookmarkEnd w:id="87"/>
      <w:r>
        <w:rPr>
          <w:rFonts w:hint="eastAsia" w:ascii="仿宋_GB2312" w:hAnsi="仿宋" w:eastAsia="仿宋_GB2312" w:cs="仿宋"/>
          <w:color w:val="000000" w:themeColor="text1"/>
          <w:sz w:val="28"/>
          <w:szCs w:val="28"/>
        </w:rPr>
        <w:t>：</w:t>
      </w:r>
    </w:p>
    <w:p>
      <w:pPr>
        <w:numPr>
          <w:ilvl w:val="0"/>
          <w:numId w:val="5"/>
        </w:num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招用不符合本条例规定条件的人员担任保安员；</w:t>
      </w:r>
    </w:p>
    <w:p>
      <w:pPr>
        <w:numPr>
          <w:ilvl w:val="0"/>
          <w:numId w:val="5"/>
        </w:num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未按照本条例的规定进行备案或者撤销备案；</w:t>
      </w:r>
    </w:p>
    <w:p>
      <w:pPr>
        <w:numPr>
          <w:ilvl w:val="0"/>
          <w:numId w:val="5"/>
        </w:num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自行招用保安员的单位在本单位以外或者物业管理区域以外开展保安服务的。</w:t>
      </w:r>
    </w:p>
    <w:p>
      <w:pPr>
        <w:snapToGrid w:val="0"/>
        <w:spacing w:line="360" w:lineRule="auto"/>
        <w:ind w:firstLine="560" w:firstLineChars="200"/>
        <w:rPr>
          <w:color w:val="000000" w:themeColor="text1"/>
        </w:rPr>
      </w:pPr>
      <w:r>
        <w:rPr>
          <w:rFonts w:hint="eastAsia" w:ascii="仿宋_GB2312" w:hAnsi="仿宋" w:eastAsia="仿宋_GB2312" w:cs="仿宋"/>
          <w:bCs/>
          <w:color w:val="000000" w:themeColor="text1"/>
          <w:sz w:val="28"/>
          <w:szCs w:val="28"/>
        </w:rPr>
        <w:t>2</w:t>
      </w:r>
      <w:r>
        <w:rPr>
          <w:rFonts w:ascii="仿宋_GB2312" w:hAnsi="仿宋" w:eastAsia="仿宋_GB2312" w:cs="仿宋"/>
          <w:bCs/>
          <w:color w:val="000000" w:themeColor="text1"/>
          <w:sz w:val="28"/>
          <w:szCs w:val="28"/>
        </w:rPr>
        <w:t>.</w:t>
      </w:r>
      <w:r>
        <w:rPr>
          <w:rFonts w:hint="eastAsia" w:ascii="仿宋_GB2312" w:hAnsi="仿宋" w:eastAsia="仿宋_GB2312" w:cs="仿宋"/>
          <w:color w:val="000000" w:themeColor="text1"/>
          <w:sz w:val="28"/>
          <w:szCs w:val="28"/>
        </w:rPr>
        <w:t>保安从业单位有下列情形之一的，责令限期改正，处2万元以上10万元以下的罚款；违反治安管理的，依法给予治安管理处罚；构成犯罪的，依法追究直接负责的主管人员和其他直接责任人员的刑事责任：</w:t>
      </w:r>
      <w:r>
        <w:rPr>
          <w:rFonts w:hint="eastAsia" w:ascii="仿宋_GB2312" w:hAnsi="仿宋" w:eastAsia="仿宋_GB2312" w:cs="仿宋"/>
          <w:color w:val="000000" w:themeColor="text1"/>
          <w:sz w:val="28"/>
          <w:szCs w:val="28"/>
        </w:rPr>
        <w:br w:type="textWrapping"/>
      </w:r>
      <w:r>
        <w:rPr>
          <w:rFonts w:hint="eastAsia" w:ascii="仿宋_GB2312" w:hAnsi="仿宋" w:eastAsia="仿宋_GB2312" w:cs="仿宋"/>
          <w:color w:val="000000" w:themeColor="text1"/>
          <w:sz w:val="28"/>
          <w:szCs w:val="28"/>
        </w:rPr>
        <w:t>　　（一）泄露在保安服务中获知的国家秘密、商业秘密以及客户单位明确要求保密的信息的；</w:t>
      </w:r>
      <w:r>
        <w:rPr>
          <w:rFonts w:hint="eastAsia" w:ascii="仿宋_GB2312" w:hAnsi="仿宋" w:eastAsia="仿宋_GB2312" w:cs="仿宋"/>
          <w:color w:val="000000" w:themeColor="text1"/>
          <w:sz w:val="28"/>
          <w:szCs w:val="28"/>
        </w:rPr>
        <w:br w:type="textWrapping"/>
      </w:r>
      <w:r>
        <w:rPr>
          <w:rFonts w:hint="eastAsia" w:ascii="仿宋_GB2312" w:hAnsi="仿宋" w:eastAsia="仿宋_GB2312" w:cs="仿宋"/>
          <w:color w:val="000000" w:themeColor="text1"/>
          <w:sz w:val="28"/>
          <w:szCs w:val="28"/>
        </w:rPr>
        <w:t>　　（二）使用监控设备侵犯他人合法权益或者个人隐私的；</w:t>
      </w:r>
      <w:r>
        <w:rPr>
          <w:rFonts w:hint="eastAsia" w:ascii="仿宋_GB2312" w:hAnsi="仿宋" w:eastAsia="仿宋_GB2312" w:cs="仿宋"/>
          <w:color w:val="000000" w:themeColor="text1"/>
          <w:sz w:val="28"/>
          <w:szCs w:val="28"/>
        </w:rPr>
        <w:br w:type="textWrapping"/>
      </w:r>
      <w:r>
        <w:rPr>
          <w:rFonts w:hint="eastAsia" w:ascii="仿宋_GB2312" w:hAnsi="仿宋" w:eastAsia="仿宋_GB2312" w:cs="仿宋"/>
          <w:color w:val="000000" w:themeColor="text1"/>
          <w:sz w:val="28"/>
          <w:szCs w:val="28"/>
        </w:rPr>
        <w:t>　　（三）删改或者扩散保安服务中形成的监控影像资料、报警记录的；</w:t>
      </w:r>
      <w:r>
        <w:rPr>
          <w:rFonts w:hint="eastAsia" w:ascii="仿宋_GB2312" w:hAnsi="仿宋" w:eastAsia="仿宋_GB2312" w:cs="仿宋"/>
          <w:color w:val="000000" w:themeColor="text1"/>
          <w:sz w:val="28"/>
          <w:szCs w:val="28"/>
        </w:rPr>
        <w:br w:type="textWrapping"/>
      </w:r>
      <w:r>
        <w:rPr>
          <w:rFonts w:hint="eastAsia" w:ascii="仿宋_GB2312" w:hAnsi="仿宋" w:eastAsia="仿宋_GB2312" w:cs="仿宋"/>
          <w:color w:val="000000" w:themeColor="text1"/>
          <w:sz w:val="28"/>
          <w:szCs w:val="28"/>
        </w:rPr>
        <w:t>　　（四）指使、纵容保安员阻碍依法执行公务、参与追索债务、采用暴力或者以暴力相威胁的手段处置纠纷的；</w:t>
      </w:r>
      <w:r>
        <w:rPr>
          <w:rFonts w:hint="eastAsia" w:ascii="仿宋_GB2312" w:hAnsi="仿宋" w:eastAsia="仿宋_GB2312" w:cs="仿宋"/>
          <w:color w:val="000000" w:themeColor="text1"/>
          <w:sz w:val="28"/>
          <w:szCs w:val="28"/>
        </w:rPr>
        <w:br w:type="textWrapping"/>
      </w:r>
      <w:r>
        <w:rPr>
          <w:rFonts w:hint="eastAsia" w:ascii="仿宋_GB2312" w:hAnsi="仿宋" w:eastAsia="仿宋_GB2312" w:cs="仿宋"/>
          <w:color w:val="000000" w:themeColor="text1"/>
          <w:sz w:val="28"/>
          <w:szCs w:val="28"/>
        </w:rPr>
        <w:t>　　（五）对保安员疏于管理、教育和培训，发生保安员违法犯罪案件，造成严重后果的。</w:t>
      </w:r>
      <w:r>
        <w:rPr>
          <w:rFonts w:hint="eastAsia" w:ascii="仿宋_GB2312" w:hAnsi="仿宋" w:eastAsia="仿宋_GB2312" w:cs="仿宋"/>
          <w:color w:val="000000" w:themeColor="text1"/>
          <w:sz w:val="28"/>
          <w:szCs w:val="28"/>
        </w:rPr>
        <w:br w:type="textWrapping"/>
      </w:r>
      <w:r>
        <w:rPr>
          <w:rFonts w:hint="eastAsia" w:ascii="仿宋_GB2312" w:hAnsi="仿宋" w:eastAsia="仿宋_GB2312" w:cs="仿宋"/>
          <w:color w:val="000000" w:themeColor="text1"/>
          <w:sz w:val="28"/>
          <w:szCs w:val="28"/>
        </w:rPr>
        <w:t>　　客户单位删改或者扩散保安服务中形成的监控影像资料、报警记录的，依照前款规定处罚。</w:t>
      </w:r>
    </w:p>
    <w:p>
      <w:pPr>
        <w:snapToGrid w:val="0"/>
        <w:spacing w:beforeLines="50" w:line="360" w:lineRule="auto"/>
        <w:ind w:firstLine="562" w:firstLineChars="200"/>
        <w:rPr>
          <w:rFonts w:ascii="仿宋_GB2312" w:hAnsi="仿宋" w:eastAsia="仿宋_GB2312" w:cs="仿宋"/>
          <w:b/>
          <w:color w:val="000000" w:themeColor="text1"/>
          <w:sz w:val="28"/>
          <w:szCs w:val="28"/>
        </w:rPr>
      </w:pPr>
      <w:r>
        <w:rPr>
          <w:rFonts w:hint="eastAsia" w:ascii="仿宋_GB2312" w:hAnsi="仿宋" w:eastAsia="仿宋_GB2312" w:cs="仿宋"/>
          <w:b/>
          <w:color w:val="000000" w:themeColor="text1"/>
          <w:sz w:val="28"/>
          <w:szCs w:val="28"/>
        </w:rPr>
        <w:t>根据《居民身份证法》（</w:t>
      </w:r>
      <w:r>
        <w:rPr>
          <w:rFonts w:ascii="仿宋_GB2312" w:hAnsi="仿宋" w:eastAsia="仿宋_GB2312" w:cs="仿宋"/>
          <w:b/>
          <w:color w:val="000000" w:themeColor="text1"/>
          <w:sz w:val="28"/>
          <w:szCs w:val="28"/>
        </w:rPr>
        <w:t>中华人民共和国主席令第51号）</w:t>
      </w:r>
      <w:r>
        <w:rPr>
          <w:rFonts w:hint="eastAsia" w:ascii="仿宋_GB2312" w:hAnsi="仿宋" w:eastAsia="仿宋_GB2312" w:cs="仿宋"/>
          <w:b/>
          <w:color w:val="000000" w:themeColor="text1"/>
          <w:sz w:val="28"/>
          <w:szCs w:val="28"/>
        </w:rPr>
        <w:t>：</w:t>
      </w:r>
    </w:p>
    <w:p>
      <w:pPr>
        <w:snapToGrid w:val="0"/>
        <w:spacing w:line="360" w:lineRule="auto"/>
        <w:ind w:firstLine="560" w:firstLineChars="200"/>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国家机关或者金融、电信、交通、教育、医疗等单位的工作人员泄露在履行职责或者提供服务过程中获得的居民身份证记载的公民个人信息，构成犯罪的，依法追究刑事责任；尚不构成犯罪的，由公安机关处十日以上十五日以下拘留，并处五千元罚款，有违法所得的，没收违法所得。</w:t>
      </w:r>
    </w:p>
    <w:p>
      <w:pPr>
        <w:snapToGrid w:val="0"/>
        <w:spacing w:line="360" w:lineRule="auto"/>
        <w:ind w:firstLine="560" w:firstLineChars="200"/>
        <w:rPr>
          <w:rFonts w:ascii="仿宋_GB2312" w:hAnsi="仿宋" w:eastAsia="仿宋_GB2312" w:cs="仿宋"/>
          <w:color w:val="000000" w:themeColor="text1"/>
          <w:sz w:val="28"/>
          <w:szCs w:val="28"/>
        </w:rPr>
      </w:pPr>
      <w:r>
        <w:rPr>
          <w:rFonts w:ascii="仿宋_GB2312" w:hAnsi="仿宋" w:eastAsia="仿宋_GB2312" w:cs="仿宋"/>
          <w:color w:val="000000" w:themeColor="text1"/>
          <w:sz w:val="28"/>
          <w:szCs w:val="28"/>
        </w:rPr>
        <w:t>单位有前款行为，构成犯罪的，依法追究刑事责任；尚不构成犯罪的，由公安机关对其直接负责的主管人员和其他直接责任人员，处十日以上十五日以下拘留，并处十万元以上五十万元以下罚款，有违法所得的，没收违法所得。</w:t>
      </w:r>
    </w:p>
    <w:p>
      <w:pPr>
        <w:snapToGrid w:val="0"/>
        <w:spacing w:line="360" w:lineRule="auto"/>
        <w:ind w:firstLine="560" w:firstLineChars="200"/>
        <w:rPr>
          <w:rFonts w:ascii="仿宋_GB2312" w:hAnsi="仿宋" w:eastAsia="仿宋_GB2312" w:cs="仿宋"/>
          <w:color w:val="000000" w:themeColor="text1"/>
          <w:sz w:val="28"/>
          <w:szCs w:val="28"/>
        </w:rPr>
      </w:pPr>
      <w:r>
        <w:rPr>
          <w:rFonts w:ascii="仿宋_GB2312" w:hAnsi="仿宋" w:eastAsia="仿宋_GB2312" w:cs="仿宋"/>
          <w:color w:val="000000" w:themeColor="text1"/>
          <w:sz w:val="28"/>
          <w:szCs w:val="28"/>
        </w:rPr>
        <w:t>有前两款行为，对他人造成损害的，依法承担民事责任。</w:t>
      </w:r>
    </w:p>
    <w:p>
      <w:pPr>
        <w:pStyle w:val="23"/>
        <w:shd w:val="clear" w:color="auto" w:fill="FFFFFF"/>
        <w:spacing w:beforeLines="50" w:beforeAutospacing="0" w:after="0" w:afterAutospacing="0"/>
        <w:ind w:firstLine="562" w:firstLineChars="200"/>
        <w:rPr>
          <w:rFonts w:ascii="仿宋_GB2312" w:hAnsi="仿宋" w:eastAsia="仿宋_GB2312" w:cs="仿宋"/>
          <w:b/>
          <w:color w:val="000000" w:themeColor="text1"/>
          <w:kern w:val="2"/>
          <w:sz w:val="28"/>
          <w:szCs w:val="28"/>
        </w:rPr>
      </w:pPr>
      <w:r>
        <w:rPr>
          <w:rFonts w:hint="eastAsia" w:ascii="仿宋_GB2312" w:hAnsi="仿宋" w:eastAsia="仿宋_GB2312" w:cs="仿宋"/>
          <w:b/>
          <w:color w:val="000000" w:themeColor="text1"/>
          <w:kern w:val="2"/>
          <w:sz w:val="28"/>
          <w:szCs w:val="28"/>
        </w:rPr>
        <w:t>根据《</w:t>
      </w:r>
      <w:r>
        <w:rPr>
          <w:rFonts w:ascii="仿宋_GB2312" w:hAnsi="仿宋" w:eastAsia="仿宋_GB2312" w:cs="仿宋"/>
          <w:b/>
          <w:color w:val="000000" w:themeColor="text1"/>
          <w:kern w:val="2"/>
          <w:sz w:val="28"/>
          <w:szCs w:val="28"/>
        </w:rPr>
        <w:t>最高人民法院关于审理使用人脸识别技术处理个人信息相关民事案件适用法律若干问题的规定</w:t>
      </w:r>
      <w:r>
        <w:rPr>
          <w:rFonts w:hint="eastAsia" w:ascii="仿宋_GB2312" w:hAnsi="仿宋" w:eastAsia="仿宋_GB2312" w:cs="仿宋"/>
          <w:b/>
          <w:color w:val="000000" w:themeColor="text1"/>
          <w:kern w:val="2"/>
          <w:sz w:val="28"/>
          <w:szCs w:val="28"/>
        </w:rPr>
        <w:t>》（</w:t>
      </w:r>
      <w:r>
        <w:rPr>
          <w:rFonts w:ascii="Calibri" w:hAnsi="Calibri" w:eastAsia="仿宋_GB2312" w:cs="Calibri"/>
          <w:b/>
          <w:color w:val="000000" w:themeColor="text1"/>
          <w:kern w:val="2"/>
          <w:sz w:val="28"/>
          <w:szCs w:val="28"/>
        </w:rPr>
        <w:t> </w:t>
      </w:r>
      <w:r>
        <w:rPr>
          <w:rFonts w:hint="eastAsia" w:ascii="仿宋_GB2312" w:hAnsi="仿宋" w:eastAsia="仿宋_GB2312" w:cs="仿宋"/>
          <w:b/>
          <w:color w:val="000000" w:themeColor="text1"/>
          <w:kern w:val="2"/>
          <w:sz w:val="28"/>
          <w:szCs w:val="28"/>
        </w:rPr>
        <w:t>法释〔2021〕15号）：</w:t>
      </w:r>
    </w:p>
    <w:p>
      <w:pPr>
        <w:shd w:val="clear" w:color="auto" w:fill="FFFFFF"/>
        <w:snapToGrid w:val="0"/>
        <w:spacing w:line="360" w:lineRule="auto"/>
        <w:ind w:firstLine="482"/>
        <w:rPr>
          <w:rFonts w:ascii="仿宋_GB2312" w:hAnsi="仿宋" w:eastAsia="仿宋_GB2312" w:cs="仿宋"/>
          <w:color w:val="000000" w:themeColor="text1"/>
          <w:sz w:val="28"/>
          <w:szCs w:val="28"/>
        </w:rPr>
      </w:pPr>
      <w:r>
        <w:rPr>
          <w:rFonts w:hint="eastAsia" w:ascii="仿宋_GB2312" w:hAnsi="仿宋" w:eastAsia="仿宋_GB2312" w:cs="仿宋"/>
          <w:color w:val="000000" w:themeColor="text1"/>
          <w:sz w:val="28"/>
          <w:szCs w:val="28"/>
        </w:rPr>
        <w:t>物业服务企业或者其他建筑物管理人以人脸识别作为业主或者物业使用人出入物业服务区域的唯一验证方式，不同意的业主或者物业使用人请求其提供其他合理验证方式的，人民法院依法予以支持。</w:t>
      </w:r>
      <w:r>
        <w:rPr>
          <w:rFonts w:hint="eastAsia" w:ascii="仿宋_GB2312" w:hAnsi="仿宋" w:eastAsia="仿宋_GB2312" w:cs="仿宋"/>
          <w:color w:val="000000" w:themeColor="text1"/>
          <w:sz w:val="28"/>
          <w:szCs w:val="28"/>
        </w:rPr>
        <w:br w:type="textWrapping"/>
      </w:r>
      <w:r>
        <w:rPr>
          <w:rFonts w:hint="eastAsia" w:ascii="仿宋_GB2312" w:hAnsi="仿宋" w:eastAsia="仿宋_GB2312" w:cs="仿宋"/>
          <w:color w:val="000000" w:themeColor="text1"/>
          <w:sz w:val="28"/>
          <w:szCs w:val="28"/>
        </w:rPr>
        <w:t>　　物业服务企业或者其他建筑物管理人存在本规定第二条规定的情形，当事人请求物业服务企业或者其他建筑物管理人承担侵权责任的，人民法院依法予以支持。</w:t>
      </w:r>
    </w:p>
    <w:p>
      <w:pPr>
        <w:pStyle w:val="47"/>
        <w:rPr>
          <w:color w:val="000000" w:themeColor="text1"/>
        </w:rPr>
      </w:pPr>
    </w:p>
    <w:p>
      <w:pPr>
        <w:pStyle w:val="47"/>
        <w:snapToGrid w:val="0"/>
        <w:spacing w:before="156"/>
        <w:rPr>
          <w:rFonts w:ascii="仿宋_GB2312" w:eastAsia="仿宋_GB2312"/>
          <w:color w:val="000000" w:themeColor="text1"/>
        </w:rPr>
      </w:pPr>
      <w:r>
        <w:rPr>
          <w:rFonts w:hint="eastAsia" w:ascii="仿宋_GB2312" w:eastAsia="仿宋_GB2312"/>
          <w:color w:val="000000" w:themeColor="text1"/>
        </w:rPr>
        <w:br w:type="page"/>
      </w:r>
    </w:p>
    <w:bookmarkEnd w:id="72"/>
    <w:p>
      <w:pPr>
        <w:pStyle w:val="47"/>
        <w:rPr>
          <w:color w:val="000000" w:themeColor="text1"/>
        </w:rPr>
      </w:pPr>
      <w:bookmarkStart w:id="88" w:name="_Toc150435255"/>
      <w:bookmarkStart w:id="89" w:name="_Toc919784389"/>
    </w:p>
    <w:p>
      <w:pPr>
        <w:pStyle w:val="47"/>
        <w:rPr>
          <w:color w:val="000000" w:themeColor="text1"/>
        </w:rPr>
      </w:pPr>
    </w:p>
    <w:p>
      <w:pPr>
        <w:pStyle w:val="47"/>
        <w:rPr>
          <w:color w:val="000000" w:themeColor="text1"/>
        </w:rPr>
      </w:pPr>
    </w:p>
    <w:p>
      <w:pPr>
        <w:pStyle w:val="47"/>
        <w:rPr>
          <w:color w:val="000000" w:themeColor="text1"/>
        </w:rPr>
      </w:pPr>
    </w:p>
    <w:p>
      <w:pPr>
        <w:pStyle w:val="47"/>
        <w:rPr>
          <w:color w:val="000000" w:themeColor="text1"/>
        </w:rPr>
      </w:pPr>
    </w:p>
    <w:p>
      <w:pPr>
        <w:pStyle w:val="47"/>
        <w:rPr>
          <w:color w:val="000000" w:themeColor="text1"/>
        </w:rPr>
      </w:pPr>
    </w:p>
    <w:p>
      <w:pPr>
        <w:pStyle w:val="47"/>
        <w:rPr>
          <w:color w:val="000000" w:themeColor="text1"/>
        </w:rPr>
      </w:pPr>
    </w:p>
    <w:p>
      <w:pPr>
        <w:keepNext/>
        <w:keepLines/>
        <w:spacing w:before="340" w:after="330" w:line="576" w:lineRule="auto"/>
        <w:jc w:val="center"/>
        <w:outlineLvl w:val="1"/>
        <w:rPr>
          <w:rFonts w:ascii="方正小标宋简体" w:hAnsi="方正小标宋简体" w:eastAsia="方正小标宋简体" w:cs="方正小标宋简体"/>
          <w:b/>
          <w:color w:val="000000" w:themeColor="text1"/>
          <w:spacing w:val="20"/>
          <w:kern w:val="44"/>
          <w:sz w:val="72"/>
          <w:szCs w:val="52"/>
        </w:rPr>
      </w:pPr>
      <w:r>
        <w:rPr>
          <w:rFonts w:hint="eastAsia" w:ascii="方正小标宋简体" w:hAnsi="方正小标宋简体" w:eastAsia="方正小标宋简体" w:cs="方正小标宋简体"/>
          <w:b/>
          <w:color w:val="000000" w:themeColor="text1"/>
          <w:spacing w:val="20"/>
          <w:kern w:val="44"/>
          <w:sz w:val="72"/>
          <w:szCs w:val="52"/>
        </w:rPr>
        <w:t>第二篇</w:t>
      </w:r>
      <w:bookmarkEnd w:id="88"/>
      <w:r>
        <w:rPr>
          <w:rFonts w:hint="eastAsia" w:ascii="方正小标宋简体" w:hAnsi="方正小标宋简体" w:eastAsia="方正小标宋简体" w:cs="方正小标宋简体"/>
          <w:b/>
          <w:color w:val="000000" w:themeColor="text1"/>
          <w:spacing w:val="20"/>
          <w:kern w:val="44"/>
          <w:sz w:val="72"/>
          <w:szCs w:val="52"/>
        </w:rPr>
        <w:t xml:space="preserve">  </w:t>
      </w:r>
    </w:p>
    <w:p>
      <w:pPr>
        <w:pStyle w:val="47"/>
        <w:ind w:left="0" w:leftChars="0" w:firstLine="0" w:firstLineChars="0"/>
        <w:jc w:val="center"/>
        <w:rPr>
          <w:rFonts w:ascii="方正小标宋简体" w:eastAsia="方正小标宋简体"/>
          <w:b/>
          <w:color w:val="000000" w:themeColor="text1"/>
          <w:spacing w:val="20"/>
          <w:kern w:val="44"/>
          <w:sz w:val="72"/>
          <w:szCs w:val="72"/>
        </w:rPr>
      </w:pPr>
      <w:r>
        <w:rPr>
          <w:rFonts w:hint="eastAsia" w:ascii="方正小标宋简体" w:eastAsia="方正小标宋简体"/>
          <w:b/>
          <w:color w:val="000000" w:themeColor="text1"/>
          <w:spacing w:val="20"/>
          <w:kern w:val="44"/>
          <w:sz w:val="72"/>
          <w:szCs w:val="72"/>
        </w:rPr>
        <w:t>案 例 提 示</w:t>
      </w:r>
      <w:bookmarkEnd w:id="89"/>
    </w:p>
    <w:p>
      <w:pPr>
        <w:keepNext/>
        <w:keepLines/>
        <w:spacing w:before="340" w:after="330" w:line="576" w:lineRule="auto"/>
        <w:jc w:val="center"/>
        <w:outlineLvl w:val="1"/>
        <w:rPr>
          <w:rFonts w:ascii="方正小标宋简体" w:hAnsi="方正小标宋简体" w:eastAsia="方正小标宋简体" w:cs="方正小标宋简体"/>
          <w:b/>
          <w:color w:val="000000" w:themeColor="text1"/>
          <w:spacing w:val="20"/>
          <w:kern w:val="44"/>
          <w:sz w:val="72"/>
          <w:szCs w:val="52"/>
        </w:rPr>
      </w:pPr>
      <w:r>
        <w:rPr>
          <w:rFonts w:ascii="方正小标宋简体" w:hAnsi="方正小标宋简体" w:eastAsia="方正小标宋简体" w:cs="方正小标宋简体"/>
          <w:b/>
          <w:color w:val="000000" w:themeColor="text1"/>
          <w:spacing w:val="20"/>
          <w:kern w:val="44"/>
          <w:sz w:val="72"/>
          <w:szCs w:val="52"/>
        </w:rPr>
        <w:br w:type="column"/>
      </w:r>
      <w:r>
        <w:rPr>
          <w:rFonts w:hint="eastAsia" w:ascii="方正小标宋简体" w:hAnsi="方正小标宋简体" w:eastAsia="方正小标宋简体" w:cs="方正小标宋简体"/>
          <w:b/>
          <w:color w:val="000000" w:themeColor="text1"/>
          <w:spacing w:val="20"/>
          <w:kern w:val="44"/>
          <w:sz w:val="72"/>
          <w:szCs w:val="52"/>
        </w:rPr>
        <w:br w:type="page"/>
      </w:r>
    </w:p>
    <w:p>
      <w:pPr>
        <w:pStyle w:val="3"/>
        <w:numPr>
          <w:ilvl w:val="0"/>
          <w:numId w:val="6"/>
        </w:numPr>
        <w:spacing w:before="156" w:after="156"/>
        <w:rPr>
          <w:color w:val="000000" w:themeColor="text1"/>
        </w:rPr>
      </w:pPr>
      <w:bookmarkStart w:id="90" w:name="_Toc1228934817"/>
      <w:bookmarkStart w:id="91" w:name="_Toc150435256"/>
      <w:r>
        <w:rPr>
          <w:rFonts w:hint="eastAsia"/>
          <w:color w:val="000000" w:themeColor="text1"/>
        </w:rPr>
        <w:t>物业服务企业违法事项</w:t>
      </w:r>
      <w:bookmarkEnd w:id="90"/>
      <w:r>
        <w:rPr>
          <w:rFonts w:hint="eastAsia"/>
          <w:color w:val="000000" w:themeColor="text1"/>
        </w:rPr>
        <w:t>——市场监督管理部门处罚案例</w:t>
      </w:r>
      <w:bookmarkEnd w:id="91"/>
    </w:p>
    <w:p>
      <w:pPr>
        <w:pStyle w:val="5"/>
        <w:rPr>
          <w:color w:val="000000" w:themeColor="text1"/>
        </w:rPr>
      </w:pPr>
      <w:bookmarkStart w:id="92" w:name="_Toc150435257"/>
      <w:bookmarkStart w:id="93" w:name="_Toc209752473"/>
      <w:r>
        <w:rPr>
          <w:rFonts w:hint="eastAsia"/>
          <w:color w:val="000000" w:themeColor="text1"/>
        </w:rPr>
        <w:t>案例一：电梯未按照安全技术规范要求维护保养</w:t>
      </w:r>
      <w:bookmarkEnd w:id="92"/>
      <w:bookmarkEnd w:id="93"/>
    </w:p>
    <w:p>
      <w:pPr>
        <w:pStyle w:val="47"/>
        <w:spacing w:after="0" w:line="360" w:lineRule="auto"/>
        <w:ind w:left="0" w:leftChars="0" w:firstLine="560"/>
        <w:rPr>
          <w:rFonts w:ascii="仿宋_GB2312" w:hAnsi="仿宋_GB2312" w:eastAsia="仿宋_GB2312" w:cs="仿宋_GB2312"/>
          <w:bCs/>
          <w:color w:val="000000" w:themeColor="text1"/>
          <w:sz w:val="28"/>
          <w:szCs w:val="30"/>
        </w:rPr>
      </w:pPr>
      <w:r>
        <w:rPr>
          <w:rFonts w:hint="eastAsia" w:ascii="仿宋_GB2312" w:hAnsi="仿宋_GB2312" w:eastAsia="仿宋_GB2312" w:cs="仿宋_GB2312"/>
          <w:bCs/>
          <w:color w:val="000000" w:themeColor="text1"/>
          <w:sz w:val="28"/>
          <w:szCs w:val="30"/>
        </w:rPr>
        <w:t>2023年，北京XX区市场监督管理局依法对某住宅项目检查，执法人员现场检查发现，该物业在用的4部电梯存在电梯井道内导靴油杯油量不足和油杯无油情况，不符合《电梯维护保养规则》（TSG T5002-2017）相关要求。以上电梯均由当事人负责维护保养。</w:t>
      </w:r>
    </w:p>
    <w:p>
      <w:pPr>
        <w:pStyle w:val="47"/>
        <w:spacing w:after="0" w:line="360" w:lineRule="auto"/>
        <w:ind w:left="0" w:leftChars="0" w:firstLine="560"/>
        <w:rPr>
          <w:rFonts w:ascii="仿宋_GB2312" w:hAnsi="仿宋_GB2312" w:eastAsia="仿宋_GB2312" w:cs="仿宋_GB2312"/>
          <w:bCs/>
          <w:color w:val="000000" w:themeColor="text1"/>
          <w:sz w:val="28"/>
          <w:szCs w:val="30"/>
        </w:rPr>
      </w:pPr>
      <w:r>
        <w:rPr>
          <w:rFonts w:hint="eastAsia" w:ascii="仿宋_GB2312" w:hAnsi="仿宋_GB2312" w:eastAsia="仿宋_GB2312" w:cs="仿宋_GB2312"/>
          <w:bCs/>
          <w:color w:val="000000" w:themeColor="text1"/>
          <w:sz w:val="28"/>
          <w:szCs w:val="30"/>
        </w:rPr>
        <w:t>当事人上述行为违反了《中华人民共和国特种设备安全法》第四十五条第二款的规定。XX区市场监督管理局依据《中华人民共和国特种设备安全法》第八十八条第一款、第二款的规定，作出行政处罚。</w:t>
      </w:r>
    </w:p>
    <w:p>
      <w:pPr>
        <w:pStyle w:val="47"/>
        <w:spacing w:after="0" w:line="360" w:lineRule="auto"/>
        <w:ind w:left="0" w:leftChars="0" w:firstLine="560"/>
        <w:rPr>
          <w:rFonts w:ascii="仿宋_GB2312" w:hAnsi="仿宋_GB2312" w:eastAsia="仿宋_GB2312" w:cs="仿宋_GB2312"/>
          <w:bCs/>
          <w:color w:val="000000" w:themeColor="text1"/>
          <w:sz w:val="28"/>
          <w:szCs w:val="30"/>
        </w:rPr>
      </w:pPr>
      <w:r>
        <w:rPr>
          <w:rFonts w:hint="eastAsia" w:ascii="仿宋_GB2312" w:hAnsi="仿宋_GB2312" w:eastAsia="仿宋_GB2312" w:cs="仿宋_GB2312"/>
          <w:bCs/>
          <w:color w:val="000000" w:themeColor="text1"/>
          <w:sz w:val="28"/>
          <w:szCs w:val="30"/>
        </w:rPr>
        <w:t>XX区市场监督管理局依法对北京某电梯安装工程有限公司未按照安全技术规范要求维护保养电梯的行为，作出罚款10000元的行政处罚。</w:t>
      </w:r>
    </w:p>
    <w:p>
      <w:pPr>
        <w:pStyle w:val="5"/>
        <w:rPr>
          <w:color w:val="000000" w:themeColor="text1"/>
        </w:rPr>
      </w:pPr>
      <w:bookmarkStart w:id="94" w:name="_Toc150435258"/>
      <w:bookmarkStart w:id="95" w:name="_Toc1289148984"/>
      <w:r>
        <w:rPr>
          <w:rFonts w:hint="eastAsia"/>
          <w:color w:val="000000" w:themeColor="text1"/>
        </w:rPr>
        <w:t>案例二：使用未经定期检验的电梯</w:t>
      </w:r>
      <w:bookmarkEnd w:id="94"/>
      <w:bookmarkEnd w:id="95"/>
    </w:p>
    <w:p>
      <w:pPr>
        <w:pStyle w:val="47"/>
        <w:ind w:left="0" w:leftChars="0" w:firstLine="600"/>
        <w:rPr>
          <w:rFonts w:ascii="仿宋_GB2312" w:hAnsi="仿宋_GB2312" w:eastAsia="仿宋_GB2312" w:cs="仿宋_GB2312"/>
          <w:bCs/>
          <w:color w:val="000000" w:themeColor="text1"/>
          <w:sz w:val="30"/>
          <w:szCs w:val="30"/>
        </w:rPr>
      </w:pPr>
      <w:r>
        <w:rPr>
          <w:rFonts w:hint="eastAsia" w:ascii="仿宋_GB2312" w:hAnsi="仿宋_GB2312" w:eastAsia="仿宋_GB2312" w:cs="仿宋_GB2312"/>
          <w:bCs/>
          <w:color w:val="000000" w:themeColor="text1"/>
          <w:sz w:val="30"/>
          <w:szCs w:val="30"/>
        </w:rPr>
        <w:t>2023年，XX区市场监督管理局依法对某住宅项目检查，执法人员现场检查发现，当事人在用的6台电梯未经定期年检，且现场无法提供电梯定期检验合格报告。上述行为违反了《中华人民共和国特种设备安全法》第四十条第三款的规定。XX区市场监督管理局依据《中华人民共和国特种设备安全法》第八十四条第一款第（一）项的规定，作出行政处罚。</w:t>
      </w:r>
    </w:p>
    <w:p>
      <w:pPr>
        <w:pStyle w:val="47"/>
        <w:spacing w:after="0" w:line="360" w:lineRule="auto"/>
        <w:ind w:left="0" w:leftChars="0" w:firstLine="600"/>
        <w:rPr>
          <w:rFonts w:ascii="仿宋_GB2312" w:hAnsi="仿宋_GB2312" w:eastAsia="仿宋_GB2312" w:cs="仿宋_GB2312"/>
          <w:bCs/>
          <w:color w:val="000000" w:themeColor="text1"/>
          <w:sz w:val="30"/>
          <w:szCs w:val="30"/>
        </w:rPr>
      </w:pPr>
      <w:r>
        <w:rPr>
          <w:rFonts w:hint="eastAsia" w:ascii="仿宋_GB2312" w:hAnsi="仿宋_GB2312" w:eastAsia="仿宋_GB2312" w:cs="仿宋_GB2312"/>
          <w:bCs/>
          <w:color w:val="000000" w:themeColor="text1"/>
          <w:sz w:val="30"/>
          <w:szCs w:val="30"/>
        </w:rPr>
        <w:t>XX区市场监督管理局依法对该物业管理有限公司使用未经定期检验的电梯的行为，作出罚款30000元的行政处罚。</w:t>
      </w:r>
    </w:p>
    <w:p>
      <w:pPr>
        <w:pStyle w:val="5"/>
        <w:rPr>
          <w:color w:val="000000" w:themeColor="text1"/>
        </w:rPr>
      </w:pPr>
      <w:bookmarkStart w:id="96" w:name="_Toc150435259"/>
      <w:bookmarkStart w:id="97" w:name="_Toc764459505"/>
      <w:r>
        <w:rPr>
          <w:rFonts w:hint="eastAsia"/>
          <w:color w:val="000000" w:themeColor="text1"/>
        </w:rPr>
        <w:t>案例三：责任单位电梯监管措施不力致事故</w:t>
      </w:r>
      <w:bookmarkEnd w:id="96"/>
      <w:bookmarkEnd w:id="97"/>
    </w:p>
    <w:p>
      <w:pPr>
        <w:pStyle w:val="47"/>
        <w:spacing w:after="0" w:line="360" w:lineRule="auto"/>
        <w:ind w:left="0" w:leftChars="0" w:firstLine="600"/>
        <w:rPr>
          <w:rFonts w:ascii="仿宋_GB2312" w:hAnsi="仿宋_GB2312" w:eastAsia="仿宋_GB2312" w:cs="仿宋_GB2312"/>
          <w:bCs/>
          <w:color w:val="000000" w:themeColor="text1"/>
          <w:sz w:val="30"/>
          <w:szCs w:val="30"/>
        </w:rPr>
      </w:pPr>
      <w:r>
        <w:rPr>
          <w:rFonts w:hint="eastAsia" w:ascii="仿宋_GB2312" w:hAnsi="仿宋_GB2312" w:eastAsia="仿宋_GB2312" w:cs="仿宋_GB2312"/>
          <w:bCs/>
          <w:color w:val="000000" w:themeColor="text1"/>
          <w:sz w:val="30"/>
          <w:szCs w:val="30"/>
        </w:rPr>
        <w:t>2023年，北京XX区某项目发生一般特种设备事故，经查，某电梯有限公司北京分公司为涉事事故电梯日常维护保养单位，该单位无行之有效的监管措施，对本起事故负有主要责任。另查，陈某某任该电梯有限公司北京分公司主要负责人，负有领导责任，未依法履行职责。</w:t>
      </w:r>
    </w:p>
    <w:p>
      <w:pPr>
        <w:pStyle w:val="47"/>
        <w:spacing w:after="0" w:line="360" w:lineRule="auto"/>
        <w:ind w:left="0" w:leftChars="0" w:firstLine="600"/>
        <w:rPr>
          <w:rFonts w:ascii="仿宋_GB2312" w:hAnsi="仿宋_GB2312" w:eastAsia="仿宋_GB2312" w:cs="仿宋_GB2312"/>
          <w:bCs/>
          <w:color w:val="000000" w:themeColor="text1"/>
          <w:sz w:val="30"/>
          <w:szCs w:val="30"/>
        </w:rPr>
      </w:pPr>
      <w:r>
        <w:rPr>
          <w:rFonts w:hint="eastAsia" w:ascii="仿宋_GB2312" w:hAnsi="仿宋_GB2312" w:eastAsia="仿宋_GB2312" w:cs="仿宋_GB2312"/>
          <w:bCs/>
          <w:color w:val="000000" w:themeColor="text1"/>
          <w:sz w:val="30"/>
          <w:szCs w:val="30"/>
        </w:rPr>
        <w:t>该电梯有限公司北京分公司违反了《中华人民共和国特种设备安全法》第九十条第（一）项规定，陈某某违反了《中华人民共和国特种设备安全法》第九十一条第（一）项规定，XX区市场监督管理局依法作出罚款105000元的行政处罚，同时对单位主要负责人陈某某未依法履行职责的行为，作出罚款93960元的行政处罚。</w:t>
      </w:r>
    </w:p>
    <w:p>
      <w:pPr>
        <w:pStyle w:val="47"/>
        <w:spacing w:line="360" w:lineRule="auto"/>
        <w:ind w:firstLine="600"/>
        <w:rPr>
          <w:rFonts w:ascii="仿宋_GB2312" w:hAnsi="仿宋_GB2312" w:eastAsia="仿宋_GB2312" w:cs="仿宋_GB2312"/>
          <w:b/>
          <w:bCs/>
          <w:color w:val="000000" w:themeColor="text1"/>
          <w:sz w:val="30"/>
          <w:szCs w:val="30"/>
        </w:rPr>
      </w:pPr>
      <w:r>
        <w:rPr>
          <w:rFonts w:hint="eastAsia" w:ascii="仿宋_GB2312" w:hAnsi="仿宋_GB2312" w:eastAsia="仿宋_GB2312" w:cs="仿宋_GB2312"/>
          <w:bCs/>
          <w:color w:val="000000" w:themeColor="text1"/>
          <w:sz w:val="30"/>
          <w:szCs w:val="30"/>
        </w:rPr>
        <w:br w:type="page"/>
      </w:r>
    </w:p>
    <w:p>
      <w:pPr>
        <w:pStyle w:val="3"/>
        <w:numPr>
          <w:ilvl w:val="0"/>
          <w:numId w:val="6"/>
        </w:numPr>
        <w:spacing w:before="156" w:after="156"/>
        <w:rPr>
          <w:color w:val="000000" w:themeColor="text1"/>
        </w:rPr>
      </w:pPr>
      <w:bookmarkStart w:id="98" w:name="_Toc2023724181"/>
      <w:bookmarkStart w:id="99" w:name="_Toc150435260"/>
      <w:r>
        <w:rPr>
          <w:rFonts w:hint="eastAsia"/>
          <w:color w:val="000000" w:themeColor="text1"/>
        </w:rPr>
        <w:t>物业服务企业违法事项</w:t>
      </w:r>
      <w:bookmarkEnd w:id="98"/>
      <w:r>
        <w:rPr>
          <w:rFonts w:hint="eastAsia"/>
          <w:color w:val="000000" w:themeColor="text1"/>
        </w:rPr>
        <w:t>——公安机关处罚、人民法院判决案例</w:t>
      </w:r>
      <w:bookmarkEnd w:id="99"/>
    </w:p>
    <w:p>
      <w:pPr>
        <w:pStyle w:val="5"/>
        <w:rPr>
          <w:color w:val="000000" w:themeColor="text1"/>
        </w:rPr>
      </w:pPr>
      <w:bookmarkStart w:id="100" w:name="_Toc150435261"/>
      <w:bookmarkStart w:id="101" w:name="_Toc886308881"/>
      <w:r>
        <w:rPr>
          <w:rFonts w:hint="eastAsia"/>
          <w:color w:val="000000" w:themeColor="text1"/>
        </w:rPr>
        <w:t>案例一：携犬出户时未对犬束犬链</w:t>
      </w:r>
      <w:bookmarkEnd w:id="100"/>
      <w:bookmarkEnd w:id="101"/>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2022年7月16日15时许，有人报警称在XX区某停车场，被狗咬了，狗主人在场。民警第一时间到达现场。经了解，养犬人在停车场内等人，期间让随手携带的小狗下车透风，与停车场内搬运工发生纠纷，对方报警。养犬人带的犬证是外区的，伤人犬为泰迪犬，已年检。现场无咬伤人情况，该养犬人对携犬出户时未对犬束犬链的行为认识到错误，积极与报警人协商解决。</w:t>
      </w:r>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公安机关针对其携犬出户时未对犬束犬链的情况，将根据《北京市养犬管理规定》第二十九条第（四）项之规定，对犬主进行罚款100元的行政处罚。</w:t>
      </w:r>
    </w:p>
    <w:p>
      <w:pPr>
        <w:pStyle w:val="5"/>
        <w:rPr>
          <w:color w:val="000000" w:themeColor="text1"/>
        </w:rPr>
      </w:pPr>
      <w:bookmarkStart w:id="102" w:name="_Toc1246787375"/>
      <w:bookmarkStart w:id="103" w:name="_Toc150435262"/>
      <w:r>
        <w:rPr>
          <w:rFonts w:hint="eastAsia"/>
          <w:color w:val="000000" w:themeColor="text1"/>
        </w:rPr>
        <w:t>案例二：养犬地址与权证地址不符</w:t>
      </w:r>
      <w:bookmarkEnd w:id="102"/>
      <w:bookmarkEnd w:id="103"/>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2022年民警在巡逻至北京市XX区天坛路天坛公园北侧坛墙外时，发现徐某违规将大型犬带出户外遛犬，民警将其查获。徐某所遛犬只为黑色拉布拉多，犬证为外区办理，该犬只平时在XX区饲养，因近期疫情，犬只临时在徐某处寄养。</w:t>
      </w:r>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徐某的行为违反了《北京市养犬管理规定》第十七条第（五）项之规定，依据《北京市养犬管理规定》第二十九条第（四）项之规定，拟对徐某处以罚款人民币100元的处罚。</w:t>
      </w:r>
    </w:p>
    <w:p>
      <w:pPr>
        <w:pStyle w:val="5"/>
        <w:rPr>
          <w:color w:val="000000" w:themeColor="text1"/>
        </w:rPr>
      </w:pPr>
      <w:bookmarkStart w:id="104" w:name="_Toc1757467846"/>
      <w:bookmarkStart w:id="105" w:name="_Toc150435263"/>
      <w:r>
        <w:rPr>
          <w:rFonts w:hint="eastAsia"/>
          <w:color w:val="000000" w:themeColor="text1"/>
        </w:rPr>
        <w:t>案例三：物业工作利用职务之便售卖业主信息</w:t>
      </w:r>
      <w:bookmarkEnd w:id="104"/>
      <w:bookmarkEnd w:id="105"/>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某小区物业工作人员徐某获得北京市某小区的业主信息，多次商谈售卖信息事项。徐某伙同李某、吴某等人，非法登录其物业公司的电脑，窃取业主信息4000余条，并以4000元的价格出售给了欧阳某。</w:t>
      </w:r>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欧阳某等人非法获取公民个人信息且情节严重，其行为已触犯了刑律，构成非法获取公民个人信息罪，依法应予惩处，分别判处欧阳某、徐某有期徒刑1年；判处李某、吴某等人有期徒刑8个月至10个月不等，并处缓刑1年。</w:t>
      </w:r>
    </w:p>
    <w:p>
      <w:pPr>
        <w:pStyle w:val="5"/>
        <w:rPr>
          <w:color w:val="000000" w:themeColor="text1"/>
        </w:rPr>
      </w:pPr>
      <w:bookmarkStart w:id="106" w:name="_Toc150435264"/>
      <w:bookmarkStart w:id="107" w:name="_Toc1272006884"/>
      <w:r>
        <w:rPr>
          <w:rFonts w:hint="eastAsia"/>
          <w:color w:val="000000" w:themeColor="text1"/>
        </w:rPr>
        <w:t>案例四：物业经理利用职务之便售卖业主信息</w:t>
      </w:r>
      <w:bookmarkEnd w:id="106"/>
      <w:bookmarkEnd w:id="107"/>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2020年7月，北京某区人民法院审理了一起小区物业公司经理侵犯公民个人信息罪的案子。樊某某曾担任某小区的物业经理。2019年6月至2020年4月，他利用职务之便，将小区业主装修信息，包括户号、业主姓名、装修负责人姓名、联系方式等内容，还有小区全体业主信息，包括户号、业主姓名、身份证号码、联系方式、现住址等内容，以电子表格的形式，提供给一些装修公司、建材公司、家具公司的销售人员，其中可能影响人身安全、财产安全信息2276条，一般信息633条。</w:t>
      </w:r>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樊某某违反国家规定，以其他方法非法获取、向他人提供公民个人信息，情节严重，其行为已构成侵犯公民个人信息罪。法院一审判处樊某某犯侵犯公民个人信息罪，判处有期徒刑一年十个月，缓刑二年六个月，并处罚金人民币5000元。</w:t>
      </w:r>
    </w:p>
    <w:p>
      <w:pPr>
        <w:pStyle w:val="3"/>
        <w:numPr>
          <w:ilvl w:val="0"/>
          <w:numId w:val="6"/>
        </w:numPr>
        <w:spacing w:before="156" w:after="156"/>
        <w:rPr>
          <w:color w:val="000000" w:themeColor="text1"/>
        </w:rPr>
      </w:pPr>
      <w:bookmarkStart w:id="108" w:name="_Toc419993503"/>
      <w:bookmarkStart w:id="109" w:name="_Toc150435265"/>
      <w:bookmarkStart w:id="110" w:name="_Toc1523373752_WPSOffice_Level2"/>
      <w:bookmarkStart w:id="111" w:name="_Toc11428"/>
      <w:r>
        <w:rPr>
          <w:rFonts w:hint="eastAsia"/>
          <w:color w:val="000000" w:themeColor="text1"/>
        </w:rPr>
        <w:t>物业服务企业违法事项</w:t>
      </w:r>
      <w:bookmarkEnd w:id="108"/>
      <w:r>
        <w:rPr>
          <w:rFonts w:hint="eastAsia"/>
          <w:color w:val="000000" w:themeColor="text1"/>
        </w:rPr>
        <w:t>——水务部门处罚案例</w:t>
      </w:r>
      <w:bookmarkEnd w:id="109"/>
      <w:bookmarkEnd w:id="110"/>
      <w:bookmarkEnd w:id="111"/>
    </w:p>
    <w:p>
      <w:pPr>
        <w:pStyle w:val="5"/>
        <w:rPr>
          <w:color w:val="000000" w:themeColor="text1"/>
        </w:rPr>
      </w:pPr>
      <w:bookmarkStart w:id="112" w:name="_Toc52057232"/>
      <w:bookmarkStart w:id="113" w:name="_Toc150435266"/>
      <w:r>
        <w:rPr>
          <w:rFonts w:hint="eastAsia"/>
          <w:color w:val="000000" w:themeColor="text1"/>
        </w:rPr>
        <w:t>案例一：二次供水设备间未上锁</w:t>
      </w:r>
      <w:bookmarkEnd w:id="112"/>
      <w:bookmarkEnd w:id="113"/>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北京XX区卫生计生监督所执法人员对某物业公司二次供水进行日常监督检查时发现其供水过程不符合卫生要求。</w:t>
      </w:r>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执法人员对二次供水设施的设备间、供水水箱、排水管等二次供水设施进行了细致地检查，并查看了相关的卫生管理制度、清洗消毒记录、直接供水人员持有效健康合格证明上岗情况、水污染应急预案以及二次供水水箱清洗消毒等情况。</w:t>
      </w:r>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检查发现，该物业公司二次供水设备间门未上锁，供水过程没有达到相关法规“供水设施必须安全密闭，有必要的卫生防护设施”的要求。执法人员依据《北京市生活饮用水卫生监督管理条例》责令该物业公司限期改正，并给予其警告，罚款人民币10000元的行政处罚。</w:t>
      </w:r>
    </w:p>
    <w:p>
      <w:pPr>
        <w:pStyle w:val="5"/>
        <w:rPr>
          <w:color w:val="000000" w:themeColor="text1"/>
        </w:rPr>
      </w:pPr>
      <w:bookmarkStart w:id="114" w:name="_Toc900053895"/>
      <w:bookmarkStart w:id="115" w:name="_Toc150435267"/>
      <w:r>
        <w:rPr>
          <w:rFonts w:hint="eastAsia"/>
          <w:color w:val="000000" w:themeColor="text1"/>
        </w:rPr>
        <w:t>案例二：未取得生活饮用水卫生许可证供水</w:t>
      </w:r>
      <w:bookmarkEnd w:id="114"/>
      <w:bookmarkEnd w:id="115"/>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北京XX区北四环某物业在未取得《生活饮用水卫生许可证》的情况下供水，XX区卫生健康委员会现场查实，依据为《北京市生活饮用水卫生监督管理条例》第二十一条第(二)项。</w:t>
      </w:r>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第二十一条  违反本条例规定，有下列行为之一的，由卫生计生行政部门责令限期改正，给予警告，并可处以5000元以上3万元以下的罚款：</w:t>
      </w:r>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（一）新建、扩建、改建供水设施的工程设计未经卫生计生行政部门审查，或者竣工未经卫生计生行政部门验收，擅自供水的；</w:t>
      </w:r>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（二）未按规定取得卫生许可证或者卫生许可证未按规定复验，从事供水或者清洗、消毒等卫生维护工作的。</w:t>
      </w:r>
    </w:p>
    <w:p>
      <w:pPr>
        <w:widowControl/>
        <w:jc w:val="left"/>
        <w:rPr>
          <w:rFonts w:ascii="仿宋_GB2312" w:hAnsi="Arial" w:eastAsia="仿宋_GB2312"/>
          <w:b/>
          <w:color w:val="000000" w:themeColor="text1"/>
          <w:sz w:val="32"/>
          <w:szCs w:val="32"/>
        </w:rPr>
      </w:pPr>
      <w:bookmarkStart w:id="116" w:name="_Toc25770"/>
      <w:bookmarkStart w:id="117" w:name="_Toc1098849196_WPSOffice_Level2"/>
      <w:r>
        <w:rPr>
          <w:rFonts w:hint="eastAsia" w:ascii="仿宋_GB2312" w:eastAsia="仿宋_GB2312"/>
          <w:color w:val="000000" w:themeColor="text1"/>
        </w:rPr>
        <w:br w:type="page"/>
      </w:r>
    </w:p>
    <w:p>
      <w:pPr>
        <w:pStyle w:val="3"/>
        <w:numPr>
          <w:ilvl w:val="0"/>
          <w:numId w:val="6"/>
        </w:numPr>
        <w:spacing w:before="156" w:after="156"/>
        <w:rPr>
          <w:color w:val="000000" w:themeColor="text1"/>
        </w:rPr>
      </w:pPr>
      <w:bookmarkStart w:id="118" w:name="_Toc331003797"/>
      <w:bookmarkStart w:id="119" w:name="_Toc150435268"/>
      <w:r>
        <w:rPr>
          <w:rFonts w:hint="eastAsia"/>
          <w:color w:val="000000" w:themeColor="text1"/>
        </w:rPr>
        <w:t>物业服务企业违法事项</w:t>
      </w:r>
      <w:bookmarkEnd w:id="118"/>
      <w:r>
        <w:rPr>
          <w:rFonts w:hint="eastAsia"/>
          <w:color w:val="000000" w:themeColor="text1"/>
        </w:rPr>
        <w:t>——消防救援处罚案例</w:t>
      </w:r>
      <w:bookmarkEnd w:id="116"/>
      <w:bookmarkEnd w:id="117"/>
      <w:bookmarkEnd w:id="119"/>
    </w:p>
    <w:p>
      <w:pPr>
        <w:pStyle w:val="5"/>
        <w:rPr>
          <w:color w:val="000000" w:themeColor="text1"/>
        </w:rPr>
      </w:pPr>
      <w:bookmarkStart w:id="120" w:name="_Toc150435269"/>
      <w:bookmarkStart w:id="121" w:name="_Toc1198170449"/>
      <w:r>
        <w:rPr>
          <w:rFonts w:hint="eastAsia"/>
          <w:color w:val="000000" w:themeColor="text1"/>
        </w:rPr>
        <w:t>案例一：消防设施缺失、占用消防车道</w:t>
      </w:r>
      <w:bookmarkEnd w:id="120"/>
      <w:bookmarkEnd w:id="121"/>
    </w:p>
    <w:p>
      <w:pPr>
        <w:pStyle w:val="47"/>
        <w:spacing w:after="0" w:line="360" w:lineRule="auto"/>
        <w:ind w:left="0" w:leftChars="0" w:firstLine="560"/>
        <w:rPr>
          <w:rFonts w:ascii="仿宋_GB2312" w:hAnsi="仿宋_GB2312" w:eastAsia="仿宋_GB2312" w:cs="仿宋_GB2312"/>
          <w:bCs/>
          <w:color w:val="000000" w:themeColor="text1"/>
          <w:sz w:val="28"/>
          <w:szCs w:val="30"/>
        </w:rPr>
      </w:pPr>
      <w:r>
        <w:rPr>
          <w:rFonts w:hint="eastAsia" w:ascii="仿宋_GB2312" w:hAnsi="仿宋_GB2312" w:eastAsia="仿宋_GB2312" w:cs="仿宋_GB2312"/>
          <w:bCs/>
          <w:color w:val="000000" w:themeColor="text1"/>
          <w:sz w:val="28"/>
          <w:szCs w:val="30"/>
        </w:rPr>
        <w:t>2023年6月，消防救援支队执法人员依法对某项目进行检查，发现该单位存在以下问题：一是消防设施类问题，该单位1处消火栓箱内缺少水带且不能当场改正；二是消防管理类问题，该单位北侧消防车通道上堆放货物，占用消防车通道，未能当场整改。</w:t>
      </w:r>
    </w:p>
    <w:p>
      <w:pPr>
        <w:pStyle w:val="47"/>
        <w:spacing w:after="0" w:line="360" w:lineRule="auto"/>
        <w:ind w:left="0" w:leftChars="0" w:firstLine="560"/>
        <w:rPr>
          <w:rFonts w:ascii="仿宋_GB2312" w:hAnsi="仿宋_GB2312" w:eastAsia="仿宋_GB2312" w:cs="仿宋_GB2312"/>
          <w:bCs/>
          <w:color w:val="000000" w:themeColor="text1"/>
          <w:sz w:val="28"/>
          <w:szCs w:val="30"/>
        </w:rPr>
      </w:pPr>
      <w:r>
        <w:rPr>
          <w:rFonts w:hint="eastAsia" w:ascii="仿宋_GB2312" w:hAnsi="仿宋_GB2312" w:eastAsia="仿宋_GB2312" w:cs="仿宋_GB2312"/>
          <w:bCs/>
          <w:color w:val="000000" w:themeColor="text1"/>
          <w:sz w:val="28"/>
          <w:szCs w:val="30"/>
        </w:rPr>
        <w:t>根据《中华人民共和国消防法》第六十条第一款第一项之规定，现决定给该单位罚款人民币10000元整；根据《中华人民共和国消防法》第六十条第一款第五项之规定，现决定给予该单位罚款人民币5000元整；合并执行：处罚款人民币15000元的行政处罚。</w:t>
      </w:r>
    </w:p>
    <w:p>
      <w:pPr>
        <w:pStyle w:val="5"/>
        <w:rPr>
          <w:color w:val="000000" w:themeColor="text1"/>
        </w:rPr>
      </w:pPr>
      <w:bookmarkStart w:id="122" w:name="_Toc696578424"/>
      <w:bookmarkStart w:id="123" w:name="_Toc150435270"/>
      <w:r>
        <w:rPr>
          <w:rFonts w:hint="eastAsia"/>
          <w:color w:val="000000" w:themeColor="text1"/>
        </w:rPr>
        <w:t>案例二：未落实消防安全管理措施</w:t>
      </w:r>
      <w:bookmarkEnd w:id="122"/>
      <w:bookmarkEnd w:id="123"/>
    </w:p>
    <w:p>
      <w:pPr>
        <w:pStyle w:val="47"/>
        <w:spacing w:after="0" w:line="360" w:lineRule="auto"/>
        <w:ind w:left="0" w:leftChars="0" w:firstLine="560"/>
        <w:rPr>
          <w:rFonts w:ascii="仿宋_GB2312" w:hAnsi="仿宋_GB2312" w:eastAsia="仿宋_GB2312" w:cs="仿宋_GB2312"/>
          <w:bCs/>
          <w:color w:val="000000" w:themeColor="text1"/>
          <w:sz w:val="28"/>
          <w:szCs w:val="30"/>
        </w:rPr>
      </w:pPr>
      <w:r>
        <w:rPr>
          <w:rFonts w:hint="eastAsia" w:ascii="仿宋_GB2312" w:hAnsi="仿宋_GB2312" w:eastAsia="仿宋_GB2312" w:cs="仿宋_GB2312"/>
          <w:bCs/>
          <w:color w:val="000000" w:themeColor="text1"/>
          <w:sz w:val="28"/>
          <w:szCs w:val="30"/>
        </w:rPr>
        <w:t>2022年4月，北京市XX区消防救援队接到报警，北京某物业管理有限公司负责管理的XX区某小区某户发生起火冒烟情况，燃烧物为电动车电池。XX区消防救援支队执法人员进行核查时发现，该单位内部消防安全管理松懈，未制定并落实消防安全管理措施和操作规程，其行为违反了《北京市消防安全责任监督管理办法》第八条第（一）项之规定。</w:t>
      </w:r>
    </w:p>
    <w:p>
      <w:pPr>
        <w:pStyle w:val="47"/>
        <w:spacing w:after="0" w:line="360" w:lineRule="auto"/>
        <w:ind w:left="0" w:leftChars="0" w:firstLine="560"/>
        <w:rPr>
          <w:rFonts w:ascii="仿宋_GB2312" w:hAnsi="仿宋_GB2312" w:eastAsia="仿宋_GB2312" w:cs="仿宋_GB2312"/>
          <w:bCs/>
          <w:color w:val="000000" w:themeColor="text1"/>
          <w:sz w:val="28"/>
          <w:szCs w:val="30"/>
        </w:rPr>
      </w:pPr>
      <w:r>
        <w:rPr>
          <w:rFonts w:hint="eastAsia" w:ascii="仿宋_GB2312" w:hAnsi="仿宋_GB2312" w:eastAsia="仿宋_GB2312" w:cs="仿宋_GB2312"/>
          <w:bCs/>
          <w:color w:val="000000" w:themeColor="text1"/>
          <w:sz w:val="28"/>
          <w:szCs w:val="30"/>
        </w:rPr>
        <w:t>根据《北京市消防安全责任监督管理办法》第十八条第一款 “未制定并落实消防安全管理措施和消防安全操作规程”处一万元以上三万元以下罚款，该单位内部消防安全管理松懈造成严重后果的，属于《行政违法行为分类目录（《北京市消防安全责任监督管理办法》部分）》的严重违法行为，应处二万元以上三万元以下罚款，给予该单位30000元罚款的行政处罚。</w:t>
      </w:r>
    </w:p>
    <w:p>
      <w:pPr>
        <w:pStyle w:val="5"/>
        <w:rPr>
          <w:color w:val="000000" w:themeColor="text1"/>
        </w:rPr>
      </w:pPr>
      <w:bookmarkStart w:id="124" w:name="_Toc1460212371"/>
      <w:bookmarkStart w:id="125" w:name="_Toc150435271"/>
      <w:r>
        <w:rPr>
          <w:rFonts w:hint="eastAsia"/>
          <w:color w:val="000000" w:themeColor="text1"/>
        </w:rPr>
        <w:t>案例三：未及时发现并消除火灾隐患</w:t>
      </w:r>
      <w:bookmarkEnd w:id="124"/>
      <w:bookmarkEnd w:id="125"/>
    </w:p>
    <w:p>
      <w:pPr>
        <w:pStyle w:val="47"/>
        <w:spacing w:after="0" w:line="360" w:lineRule="auto"/>
        <w:ind w:left="0" w:leftChars="0" w:firstLine="560"/>
        <w:rPr>
          <w:rFonts w:ascii="仿宋_GB2312" w:hAnsi="仿宋_GB2312" w:eastAsia="仿宋_GB2312" w:cs="仿宋_GB2312"/>
          <w:bCs/>
          <w:color w:val="000000" w:themeColor="text1"/>
          <w:sz w:val="28"/>
          <w:szCs w:val="30"/>
        </w:rPr>
      </w:pPr>
      <w:r>
        <w:rPr>
          <w:rFonts w:hint="eastAsia" w:ascii="仿宋_GB2312" w:hAnsi="仿宋_GB2312" w:eastAsia="仿宋_GB2312" w:cs="仿宋_GB2312"/>
          <w:bCs/>
          <w:color w:val="000000" w:themeColor="text1"/>
          <w:sz w:val="28"/>
          <w:szCs w:val="30"/>
        </w:rPr>
        <w:t>2021年12月，XX区消防救援支队接到报警，位于北京市XX区XX街道某小区楼栋发生火灾，经现场核查，起火物为电动自行车电池，火灾原因系电动自行车电池电气线路故障所致。小区物业公司存在未及时发现并消除火灾隐患的行为，其行为违反了《北京市消防安全责任监督管理办法》第八条第一款第（四）项“第八条 单位应当履行下列消防安全义务：（四）进行经常性的内部防火安全检查，及时制止、纠正违法、违章行为，发现并消除火灾隐患。”之规定。</w:t>
      </w:r>
    </w:p>
    <w:p>
      <w:pPr>
        <w:pStyle w:val="47"/>
        <w:spacing w:after="0" w:line="360" w:lineRule="auto"/>
        <w:ind w:left="0" w:leftChars="0" w:firstLine="560"/>
        <w:rPr>
          <w:rFonts w:ascii="仿宋_GB2312" w:hAnsi="仿宋_GB2312" w:eastAsia="仿宋_GB2312" w:cs="仿宋_GB2312"/>
          <w:bCs/>
          <w:color w:val="000000" w:themeColor="text1"/>
          <w:sz w:val="28"/>
          <w:szCs w:val="30"/>
        </w:rPr>
      </w:pPr>
      <w:r>
        <w:rPr>
          <w:rFonts w:hint="eastAsia" w:ascii="仿宋_GB2312" w:hAnsi="仿宋_GB2312" w:eastAsia="仿宋_GB2312" w:cs="仿宋_GB2312"/>
          <w:bCs/>
          <w:color w:val="000000" w:themeColor="text1"/>
          <w:sz w:val="28"/>
          <w:szCs w:val="30"/>
        </w:rPr>
        <w:t>根据《北京市消防安全责任监督管理办法》第十八条第一款之规定，“第十八条 违反本办法第八条、第九条、第十一条、第十二条、第十三条规定的，对从事经营活动的单位，由公安消防机构处1万元以上3万元以下罚款；对其他单位，由公安消防机构处1000元罚款。法律、法规另有规定的，从其规定。”XX区消防救援支队给予小区所在公司罚款人民币20000元整的处罚。</w:t>
      </w:r>
    </w:p>
    <w:p>
      <w:pPr>
        <w:pStyle w:val="5"/>
        <w:rPr>
          <w:color w:val="000000" w:themeColor="text1"/>
        </w:rPr>
      </w:pPr>
      <w:bookmarkStart w:id="126" w:name="_Toc150435272"/>
      <w:bookmarkStart w:id="127" w:name="_Toc346201481"/>
      <w:r>
        <w:rPr>
          <w:rFonts w:hint="eastAsia"/>
          <w:color w:val="000000" w:themeColor="text1"/>
        </w:rPr>
        <w:t>案例四：擅自从消防设施取水</w:t>
      </w:r>
      <w:bookmarkEnd w:id="126"/>
      <w:bookmarkEnd w:id="127"/>
    </w:p>
    <w:p>
      <w:pPr>
        <w:pStyle w:val="47"/>
        <w:spacing w:after="0" w:line="360" w:lineRule="auto"/>
        <w:ind w:left="0" w:leftChars="0" w:firstLine="560"/>
        <w:rPr>
          <w:rFonts w:ascii="仿宋_GB2312" w:hAnsi="仿宋_GB2312" w:eastAsia="仿宋_GB2312" w:cs="仿宋_GB2312"/>
          <w:bCs/>
          <w:color w:val="000000" w:themeColor="text1"/>
          <w:sz w:val="28"/>
          <w:szCs w:val="30"/>
        </w:rPr>
      </w:pPr>
      <w:r>
        <w:rPr>
          <w:rFonts w:hint="eastAsia" w:ascii="仿宋_GB2312" w:hAnsi="仿宋_GB2312" w:eastAsia="仿宋_GB2312" w:cs="仿宋_GB2312"/>
          <w:bCs/>
          <w:color w:val="000000" w:themeColor="text1"/>
          <w:sz w:val="28"/>
          <w:szCs w:val="30"/>
        </w:rPr>
        <w:t>2022年3月，北京市水务局执法人员在检查北京市XX区某小区时发现擅自从消防设施取水。现场通过一根15米的消防水带从消防设施取水，接入的消防水带口径50毫米。该行为违反了《北京市节约用水办法》第四十二条之规定，属于违法行为。</w:t>
      </w:r>
    </w:p>
    <w:p>
      <w:pPr>
        <w:pStyle w:val="47"/>
        <w:spacing w:after="0" w:line="360" w:lineRule="auto"/>
        <w:ind w:left="0" w:leftChars="0" w:firstLine="560"/>
        <w:rPr>
          <w:rFonts w:ascii="仿宋_GB2312" w:hAnsi="仿宋_GB2312" w:eastAsia="仿宋_GB2312" w:cs="仿宋_GB2312"/>
          <w:bCs/>
          <w:color w:val="000000" w:themeColor="text1"/>
          <w:sz w:val="28"/>
          <w:szCs w:val="30"/>
        </w:rPr>
      </w:pPr>
      <w:r>
        <w:rPr>
          <w:rFonts w:hint="eastAsia" w:ascii="仿宋_GB2312" w:hAnsi="仿宋_GB2312" w:eastAsia="仿宋_GB2312" w:cs="仿宋_GB2312"/>
          <w:bCs/>
          <w:color w:val="000000" w:themeColor="text1"/>
          <w:sz w:val="28"/>
          <w:szCs w:val="30"/>
        </w:rPr>
        <w:t>北京市水务局依据《北京市节约用水办法》“第六十五条违反本办法第四十二条规定，擅自从公共供水设施、消防设施取水的，由节水管理部门责令限期改正，对单位处1万元以上10万元以下罚款，对个人处100元以上1000元以下罚款；造成设施损坏的，由责任人负责修复或者赔偿损失。”对当事人作出罚款30000元的行政处罚决定。</w:t>
      </w:r>
    </w:p>
    <w:p>
      <w:pPr>
        <w:pStyle w:val="47"/>
        <w:spacing w:after="0" w:line="360" w:lineRule="auto"/>
        <w:ind w:left="0" w:leftChars="0" w:firstLine="560"/>
        <w:rPr>
          <w:rFonts w:ascii="仿宋_GB2312" w:hAnsi="仿宋_GB2312" w:eastAsia="仿宋_GB2312" w:cs="仿宋_GB2312"/>
          <w:bCs/>
          <w:color w:val="000000" w:themeColor="text1"/>
          <w:sz w:val="30"/>
          <w:szCs w:val="30"/>
        </w:rPr>
      </w:pPr>
      <w:r>
        <w:rPr>
          <w:rFonts w:hint="eastAsia" w:ascii="仿宋_GB2312" w:hAnsi="仿宋_GB2312" w:eastAsia="仿宋_GB2312" w:cs="仿宋_GB2312"/>
          <w:bCs/>
          <w:color w:val="000000" w:themeColor="text1"/>
          <w:sz w:val="28"/>
          <w:szCs w:val="30"/>
        </w:rPr>
        <w:br w:type="page"/>
      </w:r>
    </w:p>
    <w:p>
      <w:pPr>
        <w:pStyle w:val="3"/>
        <w:numPr>
          <w:ilvl w:val="0"/>
          <w:numId w:val="6"/>
        </w:numPr>
        <w:spacing w:before="156" w:after="156"/>
        <w:rPr>
          <w:color w:val="000000" w:themeColor="text1"/>
        </w:rPr>
      </w:pPr>
      <w:bookmarkStart w:id="128" w:name="_Toc1075091444"/>
      <w:bookmarkStart w:id="129" w:name="_Toc150435273"/>
      <w:r>
        <w:rPr>
          <w:rFonts w:hint="eastAsia"/>
          <w:color w:val="000000" w:themeColor="text1"/>
        </w:rPr>
        <w:t>物业服务企业违法事项</w:t>
      </w:r>
      <w:bookmarkEnd w:id="128"/>
      <w:r>
        <w:rPr>
          <w:rFonts w:hint="eastAsia"/>
          <w:color w:val="000000" w:themeColor="text1"/>
        </w:rPr>
        <w:t>——城市管理执法部门处罚案例</w:t>
      </w:r>
      <w:bookmarkEnd w:id="129"/>
    </w:p>
    <w:p>
      <w:pPr>
        <w:pStyle w:val="5"/>
        <w:rPr>
          <w:color w:val="000000" w:themeColor="text1"/>
        </w:rPr>
      </w:pPr>
      <w:bookmarkStart w:id="130" w:name="_Toc150435274"/>
      <w:bookmarkStart w:id="131" w:name="_Toc134493450"/>
      <w:r>
        <w:rPr>
          <w:rFonts w:hint="eastAsia"/>
          <w:color w:val="000000" w:themeColor="text1"/>
        </w:rPr>
        <w:t>案例一：物业公司厨余垃圾和其他垃圾混合收集</w:t>
      </w:r>
      <w:bookmarkEnd w:id="130"/>
      <w:bookmarkEnd w:id="131"/>
    </w:p>
    <w:p>
      <w:pPr>
        <w:pStyle w:val="47"/>
        <w:spacing w:after="0" w:line="360" w:lineRule="auto"/>
        <w:ind w:left="0" w:leftChars="0" w:firstLine="560"/>
        <w:rPr>
          <w:rFonts w:ascii="仿宋_GB2312" w:hAnsi="仿宋_GB2312" w:eastAsia="仿宋_GB2312" w:cs="仿宋_GB2312"/>
          <w:bCs/>
          <w:color w:val="000000" w:themeColor="text1"/>
          <w:sz w:val="28"/>
          <w:szCs w:val="30"/>
        </w:rPr>
      </w:pPr>
      <w:r>
        <w:rPr>
          <w:rFonts w:hint="eastAsia" w:ascii="仿宋_GB2312" w:hAnsi="仿宋_GB2312" w:eastAsia="仿宋_GB2312" w:cs="仿宋_GB2312"/>
          <w:bCs/>
          <w:color w:val="000000" w:themeColor="text1"/>
          <w:sz w:val="28"/>
          <w:szCs w:val="30"/>
        </w:rPr>
        <w:t>2023年6月9日15时20分，北京市XX综合行政执法队在检查中发现，某物业公司未分类收集、贮存生活垃圾的行为，遂予以立案调查。经查，2023年6月9日15时20分，某物业公司某小区一区味稻香饭馆南侧空地作为小区的生活垃圾分类管理责任人，厨余垃圾和其他垃圾混合收集、贮存。上述事实有现场检查笔录、现场照片和询问笔录等为证。</w:t>
      </w:r>
    </w:p>
    <w:p>
      <w:pPr>
        <w:pStyle w:val="47"/>
        <w:spacing w:after="0" w:line="360" w:lineRule="auto"/>
        <w:ind w:left="0" w:leftChars="0" w:firstLine="560"/>
        <w:rPr>
          <w:rFonts w:ascii="仿宋_GB2312" w:hAnsi="仿宋_GB2312" w:eastAsia="仿宋_GB2312" w:cs="仿宋_GB2312"/>
          <w:bCs/>
          <w:color w:val="000000" w:themeColor="text1"/>
          <w:sz w:val="28"/>
          <w:szCs w:val="30"/>
        </w:rPr>
      </w:pPr>
      <w:r>
        <w:rPr>
          <w:rFonts w:hint="eastAsia" w:ascii="仿宋_GB2312" w:hAnsi="仿宋_GB2312" w:eastAsia="仿宋_GB2312" w:cs="仿宋_GB2312"/>
          <w:bCs/>
          <w:color w:val="000000" w:themeColor="text1"/>
          <w:sz w:val="28"/>
          <w:szCs w:val="30"/>
        </w:rPr>
        <w:t>该物业公司违反了《北京市生活垃圾管理条例》第三十六条第一款第(四)项的规定，属于分类管理责任人未分类收集、贮存生活垃圾的行为，影响了垃圾分类管理。经执法人员责令改正，该物业公司已于2023年6月9日15时40分前改正了分类管理责任人未分类收集、贮存生活垃圾的行为。</w:t>
      </w:r>
    </w:p>
    <w:p>
      <w:pPr>
        <w:pStyle w:val="47"/>
        <w:spacing w:after="0" w:line="360" w:lineRule="auto"/>
        <w:ind w:left="0" w:leftChars="0" w:firstLine="560"/>
        <w:rPr>
          <w:rFonts w:ascii="仿宋_GB2312" w:hAnsi="仿宋_GB2312" w:eastAsia="仿宋_GB2312" w:cs="仿宋_GB2312"/>
          <w:bCs/>
          <w:color w:val="000000" w:themeColor="text1"/>
          <w:sz w:val="28"/>
          <w:szCs w:val="30"/>
        </w:rPr>
      </w:pPr>
      <w:r>
        <w:rPr>
          <w:rFonts w:hint="eastAsia" w:ascii="仿宋_GB2312" w:hAnsi="仿宋_GB2312" w:eastAsia="仿宋_GB2312" w:cs="仿宋_GB2312"/>
          <w:bCs/>
          <w:color w:val="000000" w:themeColor="text1"/>
          <w:sz w:val="28"/>
          <w:szCs w:val="30"/>
        </w:rPr>
        <w:t>《行政处罚事先告知书》已于2023年6月14日直接送达，根据案件事实、性质、情节及社会危害程度，并依据《北京市生活垃圾管理条例》第六十九条第一款，本行政机关于2023年6月27日作出决定：对该司罚款人民币3000元整。</w:t>
      </w:r>
      <w:r>
        <w:rPr>
          <w:rFonts w:hint="eastAsia" w:ascii="仿宋_GB2312" w:hAnsi="仿宋_GB2312" w:eastAsia="仿宋_GB2312" w:cs="仿宋_GB2312"/>
          <w:bCs/>
          <w:color w:val="000000" w:themeColor="text1"/>
          <w:sz w:val="28"/>
          <w:szCs w:val="30"/>
        </w:rPr>
        <w:tab/>
      </w:r>
    </w:p>
    <w:p>
      <w:pPr>
        <w:pStyle w:val="5"/>
        <w:rPr>
          <w:color w:val="000000" w:themeColor="text1"/>
        </w:rPr>
      </w:pPr>
      <w:bookmarkStart w:id="132" w:name="_Toc150435275"/>
      <w:bookmarkStart w:id="133" w:name="_Toc1278617506"/>
      <w:r>
        <w:rPr>
          <w:rFonts w:hint="eastAsia"/>
          <w:color w:val="000000" w:themeColor="text1"/>
        </w:rPr>
        <w:t>案例二：物业公司管理小区未进行垃圾分类</w:t>
      </w:r>
      <w:bookmarkEnd w:id="132"/>
      <w:bookmarkEnd w:id="133"/>
    </w:p>
    <w:p>
      <w:pPr>
        <w:pStyle w:val="47"/>
        <w:spacing w:after="0" w:line="360" w:lineRule="auto"/>
        <w:ind w:left="0" w:leftChars="0" w:firstLine="560"/>
        <w:rPr>
          <w:rFonts w:ascii="仿宋_GB2312" w:hAnsi="仿宋_GB2312" w:eastAsia="仿宋_GB2312" w:cs="仿宋_GB2312"/>
          <w:bCs/>
          <w:color w:val="000000" w:themeColor="text1"/>
          <w:sz w:val="28"/>
          <w:szCs w:val="30"/>
        </w:rPr>
      </w:pPr>
      <w:r>
        <w:rPr>
          <w:rFonts w:hint="eastAsia" w:ascii="仿宋_GB2312" w:hAnsi="仿宋_GB2312" w:eastAsia="仿宋_GB2312" w:cs="仿宋_GB2312"/>
          <w:bCs/>
          <w:color w:val="000000" w:themeColor="text1"/>
          <w:sz w:val="28"/>
          <w:szCs w:val="30"/>
        </w:rPr>
        <w:t>2022年11月14日，本行政机关执法人员在日常检查中发现，位于北京市XX区XX街的北京XX物业管理有限公司存在未分类收集贮存生活垃圾的行为，遂立案调查。</w:t>
      </w:r>
    </w:p>
    <w:p>
      <w:pPr>
        <w:pStyle w:val="47"/>
        <w:spacing w:after="0" w:line="360" w:lineRule="auto"/>
        <w:ind w:left="0" w:leftChars="0" w:firstLine="560"/>
        <w:rPr>
          <w:rFonts w:ascii="仿宋_GB2312" w:hAnsi="仿宋_GB2312" w:eastAsia="仿宋_GB2312" w:cs="仿宋_GB2312"/>
          <w:bCs/>
          <w:color w:val="000000" w:themeColor="text1"/>
          <w:sz w:val="28"/>
          <w:szCs w:val="30"/>
        </w:rPr>
      </w:pPr>
      <w:r>
        <w:rPr>
          <w:rFonts w:hint="eastAsia" w:ascii="仿宋_GB2312" w:hAnsi="仿宋_GB2312" w:eastAsia="仿宋_GB2312" w:cs="仿宋_GB2312"/>
          <w:bCs/>
          <w:color w:val="000000" w:themeColor="text1"/>
          <w:sz w:val="28"/>
          <w:szCs w:val="30"/>
        </w:rPr>
        <w:t>根据《北京市生活垃圾管理条例》，其违反条款为:第三十六条第一款第四项；处罚依据为:第六十九条第一款生活垃圾分类管理责任人违反本条例第三十六条第一款第(一)项、第(二)项、第(三)项、第(四)项、第(六)项规定的，城市管理综合执法部门责令立即改正并处以5000元罚款。</w:t>
      </w:r>
    </w:p>
    <w:p>
      <w:pPr>
        <w:pStyle w:val="5"/>
        <w:rPr>
          <w:color w:val="000000" w:themeColor="text1"/>
        </w:rPr>
      </w:pPr>
      <w:bookmarkStart w:id="134" w:name="_Toc150435276"/>
      <w:bookmarkStart w:id="135" w:name="_Toc2003051460"/>
      <w:r>
        <w:rPr>
          <w:rFonts w:hint="eastAsia"/>
          <w:color w:val="000000" w:themeColor="text1"/>
        </w:rPr>
        <w:t>案例三：小区锅炉房无事故隐患排查制度</w:t>
      </w:r>
      <w:bookmarkEnd w:id="134"/>
      <w:bookmarkEnd w:id="135"/>
    </w:p>
    <w:p>
      <w:pPr>
        <w:pStyle w:val="47"/>
        <w:spacing w:after="0" w:line="360" w:lineRule="auto"/>
        <w:ind w:left="0" w:leftChars="0" w:firstLine="560"/>
        <w:rPr>
          <w:rFonts w:ascii="仿宋_GB2312" w:hAnsi="仿宋_GB2312" w:eastAsia="仿宋_GB2312" w:cs="仿宋_GB2312"/>
          <w:bCs/>
          <w:color w:val="000000" w:themeColor="text1"/>
          <w:sz w:val="28"/>
          <w:szCs w:val="30"/>
        </w:rPr>
      </w:pPr>
      <w:r>
        <w:rPr>
          <w:rFonts w:hint="eastAsia" w:ascii="仿宋_GB2312" w:hAnsi="仿宋_GB2312" w:eastAsia="仿宋_GB2312" w:cs="仿宋_GB2312"/>
          <w:bCs/>
          <w:color w:val="000000" w:themeColor="text1"/>
          <w:sz w:val="28"/>
          <w:szCs w:val="30"/>
        </w:rPr>
        <w:t>2023年6月29日16时30分，北京市XX城市管理综合行政执法局执法二队执法人员在巡查检查中发现，某物业公司某小区锅炉房的经营管理单位，现场无法出示事故隐患排查治理制度。其涉嫌违反了《中华人民共和国安全生产法》第四十一条第二款 之规定，依据《中华人民共和国安全生产法》第一百零一条第一款第五项 ，应予处罚，建议立案调查，北京市XX城市管理综合行政执法局对该物业公司整罚款人民币10000元。</w:t>
      </w:r>
    </w:p>
    <w:p>
      <w:pPr>
        <w:pStyle w:val="5"/>
        <w:rPr>
          <w:color w:val="000000" w:themeColor="text1"/>
        </w:rPr>
      </w:pPr>
      <w:bookmarkStart w:id="136" w:name="_Toc1332237848"/>
      <w:bookmarkStart w:id="137" w:name="_Toc150435277"/>
      <w:r>
        <w:rPr>
          <w:rFonts w:hint="eastAsia"/>
          <w:color w:val="000000" w:themeColor="text1"/>
        </w:rPr>
        <w:t>案例四：未按照垃圾分类规定管理垃圾分类收集容器</w:t>
      </w:r>
      <w:bookmarkEnd w:id="136"/>
      <w:bookmarkEnd w:id="137"/>
    </w:p>
    <w:p>
      <w:pPr>
        <w:pStyle w:val="47"/>
        <w:spacing w:after="0" w:line="360" w:lineRule="auto"/>
        <w:ind w:left="0" w:leftChars="0" w:firstLine="560"/>
        <w:rPr>
          <w:rFonts w:ascii="仿宋_GB2312" w:hAnsi="仿宋_GB2312" w:eastAsia="仿宋_GB2312" w:cs="仿宋_GB2312"/>
          <w:bCs/>
          <w:color w:val="000000" w:themeColor="text1"/>
          <w:sz w:val="28"/>
          <w:szCs w:val="30"/>
        </w:rPr>
      </w:pPr>
      <w:r>
        <w:rPr>
          <w:rFonts w:hint="eastAsia" w:ascii="仿宋_GB2312" w:hAnsi="仿宋_GB2312" w:eastAsia="仿宋_GB2312" w:cs="仿宋_GB2312"/>
          <w:bCs/>
          <w:color w:val="000000" w:themeColor="text1"/>
          <w:sz w:val="28"/>
          <w:szCs w:val="30"/>
        </w:rPr>
        <w:t>2023年9月11日9时00分，某物业公司某小区14号楼垃圾收集站未按规定管护生活垃圾分类收集容器的行为，被执法部门进行处罚。对该物业公司罚款3000元。</w:t>
      </w:r>
    </w:p>
    <w:p>
      <w:pPr>
        <w:pStyle w:val="47"/>
        <w:spacing w:after="0" w:line="360" w:lineRule="auto"/>
        <w:ind w:firstLine="562"/>
        <w:rPr>
          <w:rFonts w:ascii="仿宋_GB2312" w:hAnsi="仿宋_GB2312" w:eastAsia="仿宋_GB2312" w:cs="仿宋_GB2312"/>
          <w:b/>
          <w:bCs/>
          <w:color w:val="000000" w:themeColor="text1"/>
          <w:sz w:val="28"/>
          <w:szCs w:val="30"/>
        </w:rPr>
      </w:pPr>
      <w:r>
        <w:rPr>
          <w:rFonts w:hint="eastAsia" w:ascii="仿宋_GB2312" w:hAnsi="仿宋_GB2312" w:eastAsia="仿宋_GB2312" w:cs="仿宋_GB2312"/>
          <w:b/>
          <w:bCs/>
          <w:color w:val="000000" w:themeColor="text1"/>
          <w:sz w:val="28"/>
          <w:szCs w:val="30"/>
        </w:rPr>
        <w:br w:type="page"/>
      </w:r>
    </w:p>
    <w:p>
      <w:pPr>
        <w:pStyle w:val="3"/>
        <w:numPr>
          <w:ilvl w:val="0"/>
          <w:numId w:val="6"/>
        </w:numPr>
        <w:spacing w:before="156" w:after="156"/>
        <w:rPr>
          <w:color w:val="000000" w:themeColor="text1"/>
        </w:rPr>
      </w:pPr>
      <w:bookmarkStart w:id="138" w:name="_Toc1257007714"/>
      <w:bookmarkStart w:id="139" w:name="_Toc150435278"/>
      <w:r>
        <w:rPr>
          <w:rFonts w:hint="eastAsia"/>
          <w:color w:val="000000" w:themeColor="text1"/>
        </w:rPr>
        <w:t>物业服务企业违法事项</w:t>
      </w:r>
      <w:bookmarkEnd w:id="138"/>
      <w:r>
        <w:rPr>
          <w:rFonts w:hint="eastAsia"/>
          <w:color w:val="000000" w:themeColor="text1"/>
        </w:rPr>
        <w:t>——园林绿化部门处罚案例</w:t>
      </w:r>
      <w:bookmarkEnd w:id="139"/>
    </w:p>
    <w:p>
      <w:pPr>
        <w:pStyle w:val="47"/>
        <w:rPr>
          <w:color w:val="000000" w:themeColor="text1"/>
        </w:rPr>
      </w:pPr>
    </w:p>
    <w:p>
      <w:pPr>
        <w:pStyle w:val="5"/>
        <w:rPr>
          <w:color w:val="000000" w:themeColor="text1"/>
        </w:rPr>
      </w:pPr>
      <w:bookmarkStart w:id="140" w:name="_Toc150435279"/>
      <w:bookmarkStart w:id="141" w:name="_Toc1732013659"/>
      <w:r>
        <w:rPr>
          <w:rFonts w:hint="eastAsia"/>
          <w:color w:val="000000" w:themeColor="text1"/>
        </w:rPr>
        <w:t>案例一：擅自截除树木主干、去除树冠</w:t>
      </w:r>
      <w:bookmarkEnd w:id="140"/>
      <w:bookmarkEnd w:id="141"/>
    </w:p>
    <w:p>
      <w:pPr>
        <w:pStyle w:val="47"/>
        <w:spacing w:after="0" w:line="360" w:lineRule="auto"/>
        <w:ind w:left="0" w:leftChars="0" w:firstLine="560"/>
        <w:rPr>
          <w:rFonts w:ascii="仿宋_GB2312" w:hAnsi="仿宋_GB2312" w:eastAsia="仿宋_GB2312" w:cs="仿宋_GB2312"/>
          <w:bCs/>
          <w:color w:val="000000" w:themeColor="text1"/>
          <w:sz w:val="28"/>
          <w:szCs w:val="30"/>
        </w:rPr>
      </w:pPr>
      <w:r>
        <w:rPr>
          <w:rFonts w:hint="eastAsia" w:ascii="仿宋_GB2312" w:hAnsi="仿宋_GB2312" w:eastAsia="仿宋_GB2312" w:cs="仿宋_GB2312"/>
          <w:bCs/>
          <w:color w:val="000000" w:themeColor="text1"/>
          <w:sz w:val="28"/>
          <w:szCs w:val="30"/>
        </w:rPr>
        <w:t>XX区XX街道某小区内171棵树被截干，按照最新修订的《北京市绿化条例》，对擅自截除树木主干、去除树冠等违法行为，将按照所砍伐树木价值的5倍到10倍进行处罚。XX综合行政执法队对物业公司罚款210万余元。</w:t>
      </w:r>
    </w:p>
    <w:p>
      <w:pPr>
        <w:pStyle w:val="5"/>
        <w:rPr>
          <w:color w:val="000000" w:themeColor="text1"/>
        </w:rPr>
      </w:pPr>
      <w:bookmarkStart w:id="142" w:name="_Toc150435280"/>
      <w:bookmarkStart w:id="143" w:name="_Toc812731728"/>
      <w:r>
        <w:rPr>
          <w:rFonts w:hint="eastAsia"/>
          <w:color w:val="000000" w:themeColor="text1"/>
        </w:rPr>
        <w:t>案例二：未经许可私自砍伐树木</w:t>
      </w:r>
      <w:bookmarkEnd w:id="142"/>
      <w:bookmarkEnd w:id="143"/>
    </w:p>
    <w:p>
      <w:pPr>
        <w:pStyle w:val="47"/>
        <w:spacing w:after="0" w:line="360" w:lineRule="auto"/>
        <w:ind w:left="0" w:leftChars="0" w:firstLine="560"/>
        <w:rPr>
          <w:rFonts w:ascii="仿宋_GB2312" w:hAnsi="仿宋_GB2312" w:eastAsia="仿宋_GB2312" w:cs="仿宋_GB2312"/>
          <w:bCs/>
          <w:color w:val="000000" w:themeColor="text1"/>
          <w:sz w:val="28"/>
          <w:szCs w:val="30"/>
        </w:rPr>
      </w:pPr>
      <w:r>
        <w:rPr>
          <w:rFonts w:hint="eastAsia" w:ascii="仿宋_GB2312" w:hAnsi="仿宋_GB2312" w:eastAsia="仿宋_GB2312" w:cs="仿宋_GB2312"/>
          <w:bCs/>
          <w:color w:val="000000" w:themeColor="text1"/>
          <w:sz w:val="28"/>
          <w:szCs w:val="30"/>
        </w:rPr>
        <w:t>2022年3月15日8时00分， XX区XX镇综合行政执法队接到举报电话称“在北京市XX区XX镇某小区，没有砍伐证对小区内绿化树木进行砍伐不合理”。遂于2022年3月15日予以立案调查。2022年3月15日9时00分执法人员到达北京市XX区XX镇某小区，经过调查了解该小区砍伐树木，未经绿化行政主管部门批准。砍伐树木1株，砍伐树木为山楂树。鉴定价格合计人民币1080元整。以上事实有现场检查笔录、现场照片、XX价格评估机构出具的《价格鉴定意见书》、询问笔录等为证。</w:t>
      </w:r>
    </w:p>
    <w:p>
      <w:pPr>
        <w:pStyle w:val="47"/>
        <w:spacing w:after="0" w:line="360" w:lineRule="auto"/>
        <w:ind w:left="0" w:leftChars="0" w:firstLine="560"/>
        <w:rPr>
          <w:rFonts w:ascii="仿宋_GB2312" w:hAnsi="仿宋_GB2312" w:eastAsia="仿宋_GB2312" w:cs="仿宋_GB2312"/>
          <w:bCs/>
          <w:color w:val="000000" w:themeColor="text1"/>
          <w:sz w:val="28"/>
          <w:szCs w:val="30"/>
        </w:rPr>
      </w:pPr>
      <w:r>
        <w:rPr>
          <w:rFonts w:hint="eastAsia" w:ascii="仿宋_GB2312" w:hAnsi="仿宋_GB2312" w:eastAsia="仿宋_GB2312" w:cs="仿宋_GB2312"/>
          <w:bCs/>
          <w:color w:val="000000" w:themeColor="text1"/>
          <w:sz w:val="28"/>
          <w:szCs w:val="30"/>
        </w:rPr>
        <w:t>该物业公司违反了《北京市绿化条例》第五十九条第一款第(一)、(二)、(三)、(四)项的规定，属于未按规定砍伐树木的违法行为，影响了本市绿化管理秩序。根据案件事实、性质、情节、社会危害程度，并依据《北京市绿化条例》第七十条之规定，综合行政执法总队对该物业公司作出行政处罚：罚款5400元。</w:t>
      </w:r>
    </w:p>
    <w:p>
      <w:pPr>
        <w:pStyle w:val="5"/>
        <w:rPr>
          <w:color w:val="000000" w:themeColor="text1"/>
        </w:rPr>
      </w:pPr>
      <w:bookmarkStart w:id="144" w:name="_Toc1586157576"/>
      <w:bookmarkStart w:id="145" w:name="_Toc150435281"/>
      <w:r>
        <w:rPr>
          <w:rFonts w:hint="eastAsia"/>
          <w:color w:val="000000" w:themeColor="text1"/>
        </w:rPr>
        <w:t>案例三：未经许可私自迁移树木</w:t>
      </w:r>
      <w:bookmarkEnd w:id="144"/>
      <w:bookmarkEnd w:id="145"/>
    </w:p>
    <w:p>
      <w:pPr>
        <w:pStyle w:val="47"/>
        <w:spacing w:after="0" w:line="360" w:lineRule="auto"/>
        <w:ind w:left="0" w:leftChars="0" w:firstLine="560"/>
        <w:rPr>
          <w:rFonts w:ascii="仿宋_GB2312" w:hAnsi="仿宋_GB2312" w:eastAsia="仿宋_GB2312" w:cs="仿宋_GB2312"/>
          <w:bCs/>
          <w:color w:val="000000" w:themeColor="text1"/>
          <w:sz w:val="28"/>
          <w:szCs w:val="30"/>
        </w:rPr>
      </w:pPr>
      <w:r>
        <w:rPr>
          <w:rFonts w:hint="eastAsia" w:ascii="仿宋_GB2312" w:hAnsi="仿宋_GB2312" w:eastAsia="仿宋_GB2312" w:cs="仿宋_GB2312"/>
          <w:bCs/>
          <w:color w:val="000000" w:themeColor="text1"/>
          <w:sz w:val="28"/>
          <w:szCs w:val="30"/>
        </w:rPr>
        <w:t>当事人某物业公司于2022年10月19日上午在小区北门口迁移树木，其因便于管理考虑，将某小区北门口的3棵茶花树被迁移至10幢南侧。3棵茶花树地面树根的周长分别为24厘米、21厘米、18厘米(因3棵树均在1.3米以下分叉，无法测量胸径)，换算为胸径分别为5.91厘米、5.23厘米、4.53厘米。经核实，当事人迁移该3棵茶花树未办理相关审批手续。2022年10月20日16时，执法队员现场检查时，当事人已完成迁移。后经复查，当事人已于2022年10月21日10时前整改完毕，已将该3棵茶花树迁移回原位置。当事人具有【能及时消除或减轻违法行为危害后果的】情节，应当从轻处罚。执法部门对该物业公司罚款440元。</w:t>
      </w:r>
    </w:p>
    <w:p>
      <w:pPr>
        <w:pStyle w:val="47"/>
        <w:spacing w:after="0" w:line="360" w:lineRule="auto"/>
        <w:ind w:firstLine="600"/>
        <w:rPr>
          <w:rFonts w:ascii="仿宋_GB2312" w:hAnsi="仿宋_GB2312" w:eastAsia="仿宋_GB2312" w:cs="仿宋_GB2312"/>
          <w:b/>
          <w:bCs/>
          <w:color w:val="000000" w:themeColor="text1"/>
          <w:sz w:val="30"/>
          <w:szCs w:val="30"/>
        </w:rPr>
      </w:pPr>
      <w:r>
        <w:rPr>
          <w:rFonts w:hint="eastAsia" w:ascii="仿宋_GB2312" w:hAnsi="仿宋_GB2312" w:eastAsia="仿宋_GB2312" w:cs="仿宋_GB2312"/>
          <w:bCs/>
          <w:color w:val="000000" w:themeColor="text1"/>
          <w:sz w:val="30"/>
          <w:szCs w:val="30"/>
        </w:rPr>
        <w:br w:type="page"/>
      </w:r>
    </w:p>
    <w:p>
      <w:pPr>
        <w:pStyle w:val="3"/>
        <w:numPr>
          <w:ilvl w:val="0"/>
          <w:numId w:val="6"/>
        </w:numPr>
        <w:spacing w:before="156" w:after="156"/>
        <w:rPr>
          <w:color w:val="000000" w:themeColor="text1"/>
        </w:rPr>
      </w:pPr>
      <w:bookmarkStart w:id="146" w:name="_Toc1835869621"/>
      <w:bookmarkStart w:id="147" w:name="_Toc150435282"/>
      <w:r>
        <w:rPr>
          <w:rFonts w:hint="eastAsia"/>
          <w:color w:val="000000" w:themeColor="text1"/>
        </w:rPr>
        <w:t>物业服务企业违法事项</w:t>
      </w:r>
      <w:bookmarkEnd w:id="146"/>
      <w:r>
        <w:rPr>
          <w:rFonts w:hint="eastAsia"/>
          <w:color w:val="000000" w:themeColor="text1"/>
        </w:rPr>
        <w:t>——人防部门处罚案例</w:t>
      </w:r>
      <w:bookmarkEnd w:id="147"/>
    </w:p>
    <w:p>
      <w:pPr>
        <w:pStyle w:val="5"/>
        <w:rPr>
          <w:color w:val="000000" w:themeColor="text1"/>
        </w:rPr>
      </w:pPr>
      <w:bookmarkStart w:id="148" w:name="_Toc150435283"/>
      <w:bookmarkStart w:id="149" w:name="_Toc415680051"/>
      <w:r>
        <w:rPr>
          <w:rFonts w:hint="eastAsia"/>
          <w:color w:val="000000" w:themeColor="text1"/>
        </w:rPr>
        <w:t>案例一：未经批准，擅自使用、改造人防工程</w:t>
      </w:r>
      <w:bookmarkEnd w:id="148"/>
      <w:bookmarkEnd w:id="149"/>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XX区人防办于2019年5月16日对某物业公司作出第XX号处罚决定书，查明，2019年4月15日，XX区人防办行政执法检查人员在检查时发现，某物业公司未经批准擅自使用、改造3号楼人防工程，该处人防工程内有顶板穿孔8处，直径5cm-15cm不等，凌空墙穿孔若干；有3间房间物业自用，无法打开配合检查，上述行为危害了人民防空工程的安全和使用效能。以上事实有检查笔录、物证照片等证据在案佐证。</w:t>
      </w:r>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上述行为违反了《中华人民共和国人民防空法》第九条之规定，依据《中华人民共和国人民防空法》第四十九条第三项规定，参照《北京市民防行政处罚裁量基准（2017年修定稿）》第八条和《北京市民防行政处罚裁量基准表（2017年版）》编号C45004A020的规定，XX区人防办决定对该物业公司作出以下行政处罚：1.警告；2.罚款30000元。</w:t>
      </w:r>
    </w:p>
    <w:p>
      <w:pPr>
        <w:pStyle w:val="5"/>
        <w:rPr>
          <w:color w:val="000000" w:themeColor="text1"/>
        </w:rPr>
      </w:pPr>
      <w:bookmarkStart w:id="150" w:name="_Toc570313466"/>
      <w:bookmarkStart w:id="151" w:name="_Toc150435284"/>
      <w:r>
        <w:rPr>
          <w:rFonts w:hint="eastAsia"/>
          <w:color w:val="000000" w:themeColor="text1"/>
        </w:rPr>
        <w:t>案例二：擅自改造人防工程，私加管道</w:t>
      </w:r>
      <w:bookmarkEnd w:id="150"/>
      <w:bookmarkEnd w:id="151"/>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某物业公司使用的某小区人防工程(工程编号:海13-0040)，该处人防工程顶板打孔4处，用于下水管道，上述行为违反了《中华人民共和国人民防空法》第二十七条规定，依据《中华人民共和国人民防空法》第四十九条第(三)的规定，参照《北京市人民防空系统行政处罚裁量基准(2020年修订稿)》第十条和《北京市人民防空系统行政处罚裁量基准表(2020年修订版)》编号C450004A030的规定，北京市XX区人民防空办公室对该物业公司罚款30000元。</w:t>
      </w:r>
    </w:p>
    <w:p>
      <w:pPr>
        <w:pStyle w:val="5"/>
        <w:rPr>
          <w:color w:val="000000" w:themeColor="text1"/>
        </w:rPr>
      </w:pPr>
      <w:bookmarkStart w:id="152" w:name="_Toc150435285"/>
      <w:bookmarkStart w:id="153" w:name="_Toc1038906501"/>
      <w:r>
        <w:rPr>
          <w:rFonts w:hint="eastAsia"/>
          <w:color w:val="000000" w:themeColor="text1"/>
        </w:rPr>
        <w:t>案例三：物业公司擅自占用人防空间堆放杂物</w:t>
      </w:r>
      <w:bookmarkEnd w:id="152"/>
      <w:bookmarkEnd w:id="153"/>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2021年8月15日XX区人防办公室对某物业公司人防空间进行检查，发现该物业公司占用人防空间堆放杂物。依据《中华人民共和国人民防空法》第九条规定，国家保护人民防空设施不受侵害。禁止任何组织或者个人破坏、侵占人民防空设施。XX区人防办对该物业公司罚款10000元。</w:t>
      </w:r>
    </w:p>
    <w:p>
      <w:pPr>
        <w:pStyle w:val="47"/>
        <w:spacing w:after="0" w:line="360" w:lineRule="auto"/>
        <w:ind w:left="0" w:leftChars="0" w:firstLine="200" w:firstLineChars="0"/>
        <w:rPr>
          <w:rFonts w:ascii="仿宋_GB2312" w:hAnsi="仿宋_GB2312" w:eastAsia="仿宋_GB2312" w:cs="仿宋_GB2312"/>
          <w:bCs/>
          <w:color w:val="000000" w:themeColor="text1"/>
          <w:sz w:val="28"/>
          <w:szCs w:val="28"/>
        </w:rPr>
      </w:pPr>
    </w:p>
    <w:p>
      <w:pPr>
        <w:pStyle w:val="47"/>
        <w:spacing w:after="0" w:line="360" w:lineRule="auto"/>
        <w:ind w:firstLine="562"/>
        <w:rPr>
          <w:rFonts w:ascii="仿宋_GB2312" w:hAnsi="仿宋_GB2312" w:eastAsia="仿宋_GB2312" w:cs="仿宋_GB2312"/>
          <w:b/>
          <w:bCs/>
          <w:color w:val="000000" w:themeColor="text1"/>
          <w:sz w:val="28"/>
          <w:szCs w:val="28"/>
        </w:rPr>
      </w:pPr>
      <w:r>
        <w:rPr>
          <w:rFonts w:hint="eastAsia" w:ascii="仿宋_GB2312" w:hAnsi="仿宋_GB2312" w:eastAsia="仿宋_GB2312" w:cs="仿宋_GB2312"/>
          <w:b/>
          <w:bCs/>
          <w:color w:val="000000" w:themeColor="text1"/>
          <w:sz w:val="28"/>
          <w:szCs w:val="28"/>
        </w:rPr>
        <w:br w:type="page"/>
      </w:r>
    </w:p>
    <w:p>
      <w:pPr>
        <w:pStyle w:val="3"/>
        <w:numPr>
          <w:ilvl w:val="0"/>
          <w:numId w:val="6"/>
        </w:numPr>
        <w:spacing w:before="156" w:after="156"/>
        <w:rPr>
          <w:color w:val="000000" w:themeColor="text1"/>
        </w:rPr>
      </w:pPr>
      <w:bookmarkStart w:id="154" w:name="_Toc1859512197"/>
      <w:bookmarkStart w:id="155" w:name="_Toc150435286"/>
      <w:r>
        <w:rPr>
          <w:rFonts w:hint="eastAsia"/>
          <w:color w:val="000000" w:themeColor="text1"/>
        </w:rPr>
        <w:t>物业服务企业违法事项</w:t>
      </w:r>
      <w:bookmarkEnd w:id="154"/>
      <w:r>
        <w:rPr>
          <w:rFonts w:hint="eastAsia"/>
          <w:color w:val="000000" w:themeColor="text1"/>
        </w:rPr>
        <w:t>——住房城乡建设部门处罚案例</w:t>
      </w:r>
      <w:bookmarkEnd w:id="155"/>
    </w:p>
    <w:p>
      <w:pPr>
        <w:pStyle w:val="47"/>
        <w:rPr>
          <w:color w:val="000000" w:themeColor="text1"/>
        </w:rPr>
      </w:pPr>
    </w:p>
    <w:p>
      <w:pPr>
        <w:pStyle w:val="5"/>
        <w:rPr>
          <w:color w:val="000000" w:themeColor="text1"/>
        </w:rPr>
      </w:pPr>
      <w:bookmarkStart w:id="156" w:name="_Toc491980188"/>
      <w:bookmarkStart w:id="157" w:name="_Toc150435287"/>
      <w:r>
        <w:rPr>
          <w:rFonts w:hint="eastAsia"/>
          <w:color w:val="000000" w:themeColor="text1"/>
        </w:rPr>
        <w:t>案例一：物业公司未按照物业服务管理合同约定的服务等级提供物业服务</w:t>
      </w:r>
      <w:bookmarkEnd w:id="156"/>
      <w:bookmarkEnd w:id="157"/>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北京市XX区住房和城乡建设综合执法大队执法人员于2023年3月15日对北京XXXX物业管理有限公司管理的XX区XXXX小区进行检查，在现场检查中发现北京XXXX物业管理有限公司作为XX区XXXX小区的物业服务企业，客户服务接待中心工作人员未分岗位统一着装、佩戴标志；监控设备机房内放有单人床、未设置挡鼠板。北京XXXX物业管理有限公司未按照物业服务管理合同约定的北京市住宅物业服务三级标准提供物业服务。XX区住房和城乡建设委员会于2023年3月17日对上述检查发现的问题立案，通过2023年3月17日对当事人北京XXXX物业管理有限公司授权委托人王某人的询问及调取有关资料，查明北京XXXX物业管理有限公司作为XX区XXXX小区物业服务企业，存在客户服务接待中心工作人员未分岗位统一着装、佩戴标志；监控设备机房内放有单人床、未设置挡鼠板的行为。北京XXXX物业管理有限公司未按照物业服务管理合同约定的北京市住宅物业服务三级标准提供物业服务。</w:t>
      </w:r>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相关法条：</w:t>
      </w:r>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《北京市物业管理条例》第六十五条　物业服务人应当按照物业服务合同的约定提供物业服务，并且遵守下列规定：</w:t>
      </w:r>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（一）提供物业服务符合国家和本市规定的标准、规范；</w:t>
      </w:r>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（二）及时向业主、物业使用人告知安全、合理使用物业的注意事项；</w:t>
      </w:r>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（三）定期听取业主的意见和建议，接受业主监督，改进和完善服务；</w:t>
      </w:r>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（四）对违法建设、违规出租房屋、私拉电线、占用消防通道等行为进行劝阻、制止，劝阻、制止无效的，及时报告行政执法机关；</w:t>
      </w:r>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（五）发现有安全风险隐患的，及时设置警示标志，采取措施排除隐患或者向有关专业机构报告；</w:t>
      </w:r>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（六）对业主、物业使用人违反临时管理规约、管理规约的行为进行劝阻、制止，并及时报告业主委员会或者物业管理委员会；</w:t>
      </w:r>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（七）不得泄露在物业服务活动中获取的业主信息；</w:t>
      </w:r>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（八）履行生活垃圾分类管理责任人责任，指导、监督业主和物业使用人进行生活垃圾分类；</w:t>
      </w:r>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（九）配合街道办事处、乡镇人民政府、行政执法机关和居民委员会、村民委员会做好物业管理相关工作。</w:t>
      </w:r>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行政处罚决定：北京XXXX物业管理有限公司上述行为违反了《北京市物业管理条例》第六十五条的规定，依据《北京市物业管理条例》第九十二条的规定违反本条例第六十五条第(一)项至第(六)项规定，物业服务人提供服务未遵守相关规定的，由区住房和城乡建设或者房屋主管部门给予警告，处五千元以上一万元以下的罚款，决定警告并处5000元的罚款。</w:t>
      </w:r>
    </w:p>
    <w:p>
      <w:pPr>
        <w:pStyle w:val="5"/>
        <w:rPr>
          <w:color w:val="000000" w:themeColor="text1"/>
        </w:rPr>
      </w:pPr>
      <w:bookmarkStart w:id="158" w:name="_Toc150435288"/>
      <w:bookmarkStart w:id="159" w:name="_Toc898978766"/>
      <w:r>
        <w:rPr>
          <w:rFonts w:hint="eastAsia"/>
          <w:color w:val="000000" w:themeColor="text1"/>
        </w:rPr>
        <w:t>案例二：物业公司未在小区物业管理区域内显著位置设置公示栏，如实公示、及时更新公示信息</w:t>
      </w:r>
      <w:bookmarkEnd w:id="158"/>
      <w:bookmarkEnd w:id="159"/>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北京市XX区住房和城乡建设综合执法大队执法人员于2023年4月16日对北京XXXX物业管理有限公司管理的XX区XXXX小区进行检查，在现场检查中发现北京XXXX物业管理有限公司作为XX区XXXX小区的物业服务企业，未在该小区物业管理区域内显著位置设置公示栏，如实公示、及时更新下列信息：物业服务企业的营业执照、项目负责人的基本情况、联系方式以及物业服务投诉电话；物业服务内容和标准、收费标准和方式等；电梯、消防等具有专业技术要求的设施设备的日常维修保养单位名称、资质、联系方式、维保方案和应急处置方案等；本年度物业服务项目收支预算；业主进行房屋装饰装修活动的情况；物业管理区域内车位、车库的出售和出租情况；其他应当公示的信息。XX区住房和城乡建设委员会于2023年4月17日对上述检查发现的问题立案，通过2023年4月18日对当事人北京XXXX物业管理有限公司授权委托人刘某人的询问及调取有关资料，查明北京XXXX物业管理有限公司存在作为XX区XXXX小区物业服务企业，未在该小区物业管理区域内显著位置设置公示栏，如实公示、及时更新上述信息的行为。</w:t>
      </w:r>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相关法条：</w:t>
      </w:r>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第七十条　物业服务人应当在</w:t>
      </w:r>
      <w:bookmarkStart w:id="160" w:name="_Hlk146185473"/>
      <w:r>
        <w:rPr>
          <w:rFonts w:hint="eastAsia" w:ascii="仿宋_GB2312" w:hAnsi="仿宋_GB2312" w:eastAsia="仿宋_GB2312" w:cs="仿宋_GB2312"/>
          <w:bCs/>
          <w:color w:val="000000" w:themeColor="text1"/>
          <w:sz w:val="28"/>
          <w:szCs w:val="28"/>
        </w:rPr>
        <w:t>物业管理区域内显著位置设置公示栏</w:t>
      </w:r>
      <w:bookmarkEnd w:id="160"/>
      <w:r>
        <w:rPr>
          <w:rFonts w:hint="eastAsia" w:ascii="仿宋_GB2312" w:hAnsi="仿宋_GB2312" w:eastAsia="仿宋_GB2312" w:cs="仿宋_GB2312"/>
          <w:bCs/>
          <w:color w:val="000000" w:themeColor="text1"/>
          <w:sz w:val="28"/>
          <w:szCs w:val="28"/>
        </w:rPr>
        <w:t>，如实公示、及时更新下列信息，并且可以通过互联网方式告知全体业主：</w:t>
      </w:r>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（一）物业服务企业的营业执照、项目负责人的基本情况、联系方式以及物业服务投诉电话；</w:t>
      </w:r>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（二）物业服务内容和标准、收费标准和方式等；</w:t>
      </w:r>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（三）电梯、消防等具有专业技术要求的设施设备的日常维修保养单位名称、资质、联系方式、维保方案和应急处置方案等；</w:t>
      </w:r>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（四）上一年度物业服务合同履行及物业服务项目收支情况、本年度物业服务项目收支预算；</w:t>
      </w:r>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（五）上一年度公共水电费用分摊情况、物业费、公共收益收支与专项维修资金使用情况；</w:t>
      </w:r>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（六）业主进行房屋装饰装修活动的情况；</w:t>
      </w:r>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（七）物业管理区域内车位、车库的出售和出租情况；</w:t>
      </w:r>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（八）其他应当公示的信息。</w:t>
      </w:r>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业主对公示内容提出异议的，物业服务人应当予以答复。</w:t>
      </w:r>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行政处罚决定：北京XXXX物业管理有限公司上述行为违反了《北京市物业管理条例》第七十条的规定，依据《北京市物业管理条例》第九十四条的规定物业服务人未按照规定如实公示有关信息的，由区住房和城乡建设或者房屋主管部门责令限期改正，给予警告；逾期不改的，处一千元以上五千元以下的罚款。鉴于北京XXXX物业管理有限公司在责令期限内完成整改，执法人员现场核验符合公示要求，决定给予警告。</w:t>
      </w:r>
    </w:p>
    <w:p>
      <w:pPr>
        <w:pStyle w:val="5"/>
        <w:rPr>
          <w:color w:val="000000" w:themeColor="text1"/>
        </w:rPr>
      </w:pPr>
      <w:bookmarkStart w:id="161" w:name="_Toc150435289"/>
      <w:bookmarkStart w:id="162" w:name="_Toc1588663517"/>
      <w:r>
        <w:rPr>
          <w:rFonts w:hint="eastAsia"/>
          <w:color w:val="000000" w:themeColor="text1"/>
        </w:rPr>
        <w:t>案例三：物业公司管理区域未配备房屋建筑结构安全管理员</w:t>
      </w:r>
      <w:bookmarkEnd w:id="161"/>
      <w:bookmarkEnd w:id="162"/>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北京市XX区住房和城乡建设委员会综合执法大队执法人员于2023年2月24日对XX区XXXX小区进行检查，发现XXXXX物业发展有限公司北京分公司作为XX区XXXX小区的受托管理的物业服务企业，未按规定在上述物业管理区域配备房屋建筑结构安全管理员。XX区住房和城乡建设委员会于2023年2月24日对上述检查发现的问题立案。通过2023年2月28日对当事人XXXXX物业发展有限公司北京分公司授权委托人李某人的询问及调取有关资料，查明XXXXX物业发展有限公司北京分公司存在作为XX区XXXX小区的受托管理的物业服务企业，未按规定在上述物业管理区域配备房屋建筑结构和房屋建筑设施设备安全管理员各一名的行为。</w:t>
      </w:r>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相关法条：</w:t>
      </w:r>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《北京市房屋建筑使用安全管理办法》第四条：　</w:t>
      </w:r>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1.房屋建筑使用安全责任由房屋建筑所有权人承担。</w:t>
      </w:r>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2.所有权人对房屋建筑使用安全可以自行管理，也可以委托物业服务企业以及其他单位、个人管理，受托管理人应当按照规定和约定承担房屋建筑使用安全管理责任。</w:t>
      </w:r>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3.自行管理的单位和受托管理的物业服务企业应当配备房屋建筑安全管理员。安全管理员应当具备房屋建筑结构和设施设备安全管理的专业知识。</w:t>
      </w:r>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行政处罚决定：XX物业发展有限公司北京分公司上述行为违反了《北京市房屋建筑使用安全管理办法》第四条第三款的规定，依据《北京市房屋建筑使用安全管理办法》第二十八条的规定违反本办法第四条第三款规定，自行管理的单位或者受托管理的物业服务企业未配备安全管理员的，由住房城乡建设行政主管部门责令限期改正；拒不改正的，处1万元以上3万元以下罚款。鉴于XX物业发展有限公司北京分公司在责令期限内完成整改，执法人员现场核验符合整改要求，决定给予警告。</w:t>
      </w:r>
    </w:p>
    <w:p>
      <w:pPr>
        <w:pStyle w:val="5"/>
        <w:rPr>
          <w:color w:val="000000" w:themeColor="text1"/>
        </w:rPr>
      </w:pPr>
      <w:bookmarkStart w:id="163" w:name="_Toc150435290"/>
      <w:bookmarkStart w:id="164" w:name="_Toc1003547068"/>
      <w:r>
        <w:rPr>
          <w:rFonts w:hint="eastAsia"/>
          <w:color w:val="000000" w:themeColor="text1"/>
        </w:rPr>
        <w:t>案例四：高空抛物物业担责</w:t>
      </w:r>
      <w:bookmarkEnd w:id="163"/>
      <w:bookmarkEnd w:id="164"/>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2015年小张在XX区某小区干活时，头部被高空飞来的不明物砸中，导致死亡。由于无法确定水泥块和水龙头的所有者，小张家属把整栋楼（301-1702，三层以上居民）39户居民，以及小区物业企业告上了北京市XX区人民法院。</w:t>
      </w:r>
    </w:p>
    <w:p>
      <w:pPr>
        <w:pStyle w:val="47"/>
        <w:spacing w:after="0" w:line="360" w:lineRule="auto"/>
        <w:ind w:left="0" w:leftChars="0" w:firstLine="560"/>
        <w:rPr>
          <w:rFonts w:ascii="仿宋_GB2312" w:hAnsi="仿宋_GB2312" w:eastAsia="仿宋_GB2312" w:cs="仿宋_GB2312"/>
          <w:bCs/>
          <w:color w:val="000000" w:themeColor="text1"/>
          <w:sz w:val="28"/>
          <w:szCs w:val="28"/>
        </w:rPr>
      </w:pPr>
      <w:r>
        <w:rPr>
          <w:rFonts w:hint="eastAsia" w:ascii="仿宋_GB2312" w:hAnsi="仿宋_GB2312" w:eastAsia="仿宋_GB2312" w:cs="仿宋_GB2312"/>
          <w:bCs/>
          <w:color w:val="000000" w:themeColor="text1"/>
          <w:sz w:val="28"/>
          <w:szCs w:val="28"/>
        </w:rPr>
        <w:t>根据《中华人民共和国民法典》第一千二百五十四条第二款规定，“物业服务企业等建筑物管理人应当采取必要的安全保障措施防止前款规定情形的发生；未采取必要的安全保障措施的，应当依法承担未履行安全保障义务的侵权责任。”法院判决物业企业承担80000元的赔偿责任。</w:t>
      </w:r>
    </w:p>
    <w:p>
      <w:pPr>
        <w:widowControl/>
        <w:jc w:val="left"/>
        <w:rPr>
          <w:rFonts w:ascii="仿宋_GB2312" w:hAnsi="仿宋_GB2312" w:eastAsia="仿宋_GB2312" w:cs="仿宋_GB2312"/>
          <w:bCs/>
          <w:color w:val="000000" w:themeColor="text1"/>
          <w:sz w:val="28"/>
          <w:szCs w:val="28"/>
        </w:rPr>
      </w:pPr>
      <w:bookmarkStart w:id="165" w:name="_Toc110154427"/>
    </w:p>
    <w:bookmarkEnd w:id="165"/>
    <w:p>
      <w:pPr>
        <w:keepNext/>
        <w:keepLines/>
        <w:spacing w:before="340" w:after="330" w:line="576" w:lineRule="auto"/>
        <w:jc w:val="center"/>
        <w:rPr>
          <w:rFonts w:ascii="Calibri" w:hAnsi="Calibri" w:eastAsia="仿宋" w:cs="Times New Roman"/>
          <w:b/>
          <w:color w:val="000000" w:themeColor="text1"/>
          <w:spacing w:val="20"/>
          <w:kern w:val="44"/>
          <w:sz w:val="52"/>
          <w:szCs w:val="52"/>
        </w:rPr>
      </w:pPr>
      <w:r>
        <w:rPr>
          <w:rFonts w:ascii="仿宋_GB2312" w:hAnsi="仿宋_GB2312" w:eastAsia="仿宋_GB2312" w:cs="仿宋_GB2312"/>
          <w:bCs/>
          <w:color w:val="000000" w:themeColor="text1"/>
          <w:sz w:val="28"/>
          <w:szCs w:val="28"/>
        </w:rPr>
        <w:br w:type="page"/>
      </w:r>
    </w:p>
    <w:p>
      <w:pPr>
        <w:pStyle w:val="47"/>
        <w:ind w:firstLine="560"/>
        <w:rPr>
          <w:color w:val="000000" w:themeColor="text1"/>
        </w:rPr>
      </w:pPr>
      <w:r>
        <w:rPr>
          <w:rFonts w:ascii="仿宋_GB2312" w:hAnsi="仿宋_GB2312" w:eastAsia="仿宋_GB2312" w:cs="仿宋_GB2312"/>
          <w:bCs/>
          <w:color w:val="000000" w:themeColor="text1"/>
          <w:sz w:val="28"/>
          <w:szCs w:val="28"/>
        </w:rPr>
        <w:br w:type="column"/>
      </w:r>
    </w:p>
    <w:p>
      <w:pPr>
        <w:pStyle w:val="47"/>
        <w:rPr>
          <w:color w:val="000000" w:themeColor="text1"/>
        </w:rPr>
      </w:pPr>
    </w:p>
    <w:p>
      <w:pPr>
        <w:pStyle w:val="47"/>
        <w:rPr>
          <w:color w:val="000000" w:themeColor="text1"/>
        </w:rPr>
      </w:pPr>
    </w:p>
    <w:p>
      <w:pPr>
        <w:pStyle w:val="47"/>
        <w:rPr>
          <w:color w:val="000000" w:themeColor="text1"/>
        </w:rPr>
      </w:pPr>
    </w:p>
    <w:p>
      <w:pPr>
        <w:pStyle w:val="47"/>
        <w:rPr>
          <w:color w:val="000000" w:themeColor="text1"/>
        </w:rPr>
      </w:pPr>
    </w:p>
    <w:p>
      <w:pPr>
        <w:pStyle w:val="47"/>
        <w:rPr>
          <w:color w:val="000000" w:themeColor="text1"/>
        </w:rPr>
      </w:pPr>
    </w:p>
    <w:p>
      <w:pPr>
        <w:pStyle w:val="47"/>
        <w:snapToGrid w:val="0"/>
        <w:spacing w:after="0" w:line="360" w:lineRule="auto"/>
        <w:ind w:left="0" w:leftChars="0"/>
        <w:rPr>
          <w:color w:val="000000" w:themeColor="text1"/>
        </w:rPr>
      </w:pPr>
    </w:p>
    <w:p>
      <w:pPr>
        <w:keepNext/>
        <w:keepLines/>
        <w:spacing w:before="340" w:after="330" w:line="576" w:lineRule="auto"/>
        <w:jc w:val="center"/>
        <w:outlineLvl w:val="1"/>
        <w:rPr>
          <w:rFonts w:ascii="方正小标宋简体" w:hAnsi="方正小标宋简体" w:eastAsia="方正小标宋简体" w:cs="方正小标宋简体"/>
          <w:b/>
          <w:color w:val="000000" w:themeColor="text1"/>
          <w:spacing w:val="20"/>
          <w:kern w:val="44"/>
          <w:sz w:val="72"/>
          <w:szCs w:val="52"/>
        </w:rPr>
      </w:pPr>
      <w:bookmarkStart w:id="166" w:name="_Toc150435291"/>
      <w:r>
        <w:rPr>
          <w:rFonts w:hint="eastAsia" w:ascii="方正小标宋简体" w:hAnsi="方正小标宋简体" w:eastAsia="方正小标宋简体" w:cs="方正小标宋简体"/>
          <w:b/>
          <w:color w:val="000000" w:themeColor="text1"/>
          <w:spacing w:val="20"/>
          <w:kern w:val="44"/>
          <w:sz w:val="72"/>
          <w:szCs w:val="52"/>
        </w:rPr>
        <w:t>第三篇</w:t>
      </w:r>
      <w:bookmarkEnd w:id="166"/>
      <w:r>
        <w:rPr>
          <w:rFonts w:hint="eastAsia" w:ascii="方正小标宋简体" w:hAnsi="方正小标宋简体" w:eastAsia="方正小标宋简体" w:cs="方正小标宋简体"/>
          <w:b/>
          <w:color w:val="000000" w:themeColor="text1"/>
          <w:spacing w:val="20"/>
          <w:kern w:val="44"/>
          <w:sz w:val="72"/>
          <w:szCs w:val="52"/>
        </w:rPr>
        <w:t xml:space="preserve"> </w:t>
      </w:r>
      <w:r>
        <w:rPr>
          <w:rFonts w:ascii="方正小标宋简体" w:hAnsi="方正小标宋简体" w:eastAsia="方正小标宋简体" w:cs="方正小标宋简体"/>
          <w:b/>
          <w:color w:val="000000" w:themeColor="text1"/>
          <w:spacing w:val="20"/>
          <w:kern w:val="44"/>
          <w:sz w:val="72"/>
          <w:szCs w:val="52"/>
        </w:rPr>
        <w:t xml:space="preserve"> </w:t>
      </w:r>
    </w:p>
    <w:p>
      <w:pPr>
        <w:pStyle w:val="47"/>
        <w:ind w:left="0" w:leftChars="0" w:firstLine="0" w:firstLineChars="0"/>
        <w:jc w:val="center"/>
        <w:rPr>
          <w:rFonts w:ascii="方正小标宋简体" w:eastAsia="方正小标宋简体"/>
          <w:color w:val="000000" w:themeColor="text1"/>
          <w:spacing w:val="20"/>
          <w:kern w:val="44"/>
          <w:sz w:val="72"/>
          <w:szCs w:val="72"/>
        </w:rPr>
      </w:pPr>
      <w:r>
        <w:rPr>
          <w:rFonts w:hint="eastAsia" w:ascii="方正小标宋简体" w:eastAsia="方正小标宋简体"/>
          <w:color w:val="000000" w:themeColor="text1"/>
          <w:spacing w:val="20"/>
          <w:kern w:val="44"/>
          <w:sz w:val="72"/>
          <w:szCs w:val="72"/>
        </w:rPr>
        <w:t>法 规 摘 编</w:t>
      </w:r>
    </w:p>
    <w:p>
      <w:pPr>
        <w:widowControl/>
        <w:snapToGrid w:val="0"/>
        <w:jc w:val="left"/>
        <w:rPr>
          <w:rFonts w:ascii="仿宋" w:hAnsi="仿宋" w:eastAsia="仿宋" w:cs="仿宋"/>
          <w:color w:val="000000" w:themeColor="text1"/>
          <w:sz w:val="28"/>
          <w:szCs w:val="28"/>
        </w:rPr>
      </w:pPr>
      <w:r>
        <w:rPr>
          <w:rFonts w:ascii="仿宋" w:hAnsi="仿宋" w:eastAsia="仿宋" w:cs="仿宋"/>
          <w:color w:val="000000" w:themeColor="text1"/>
          <w:sz w:val="28"/>
          <w:szCs w:val="28"/>
        </w:rPr>
        <w:br w:type="column"/>
      </w:r>
    </w:p>
    <w:p>
      <w:pPr>
        <w:widowControl/>
        <w:snapToGrid w:val="0"/>
        <w:jc w:val="left"/>
        <w:rPr>
          <w:rFonts w:ascii="仿宋" w:hAnsi="仿宋" w:eastAsia="仿宋" w:cs="仿宋"/>
          <w:color w:val="000000" w:themeColor="text1"/>
          <w:sz w:val="28"/>
          <w:szCs w:val="28"/>
        </w:rPr>
      </w:pPr>
      <w:r>
        <w:rPr>
          <w:rFonts w:ascii="仿宋" w:hAnsi="仿宋" w:eastAsia="仿宋" w:cs="仿宋"/>
          <w:color w:val="000000" w:themeColor="text1"/>
          <w:sz w:val="28"/>
          <w:szCs w:val="28"/>
        </w:rPr>
        <w:br w:type="page"/>
      </w:r>
    </w:p>
    <w:p>
      <w:pPr>
        <w:snapToGrid w:val="0"/>
        <w:spacing w:line="560" w:lineRule="exact"/>
        <w:rPr>
          <w:rFonts w:ascii="仿宋" w:hAnsi="仿宋" w:eastAsia="仿宋" w:cs="仿宋"/>
          <w:color w:val="000000" w:themeColor="text1"/>
          <w:sz w:val="28"/>
          <w:szCs w:val="28"/>
        </w:rPr>
        <w:sectPr>
          <w:footerReference r:id="rId9" w:type="default"/>
          <w:pgSz w:w="11906" w:h="16838"/>
          <w:pgMar w:top="1440" w:right="1800" w:bottom="1440" w:left="1800" w:header="851" w:footer="850" w:gutter="0"/>
          <w:pgBorders>
            <w:top w:val="none" w:sz="0" w:space="0"/>
            <w:left w:val="none" w:sz="0" w:space="0"/>
            <w:bottom w:val="none" w:sz="0" w:space="0"/>
            <w:right w:val="none" w:sz="0" w:space="0"/>
          </w:pgBorders>
          <w:pgNumType w:start="1"/>
          <w:cols w:space="425" w:num="1"/>
          <w:docGrid w:type="lines" w:linePitch="312" w:charSpace="0"/>
        </w:sectPr>
      </w:pPr>
    </w:p>
    <w:p>
      <w:pPr>
        <w:pStyle w:val="3"/>
        <w:spacing w:before="156" w:after="156"/>
        <w:rPr>
          <w:color w:val="000000" w:themeColor="text1"/>
        </w:rPr>
      </w:pPr>
      <w:bookmarkStart w:id="167" w:name="_Toc150435292"/>
      <w:bookmarkStart w:id="168" w:name="_Toc110154428"/>
      <w:r>
        <w:rPr>
          <w:rFonts w:hint="eastAsia"/>
          <w:color w:val="000000" w:themeColor="text1"/>
        </w:rPr>
        <w:t>物业服务行业法律法规和部门规章摘编</w:t>
      </w:r>
      <w:bookmarkEnd w:id="167"/>
      <w:bookmarkStart w:id="169" w:name="_Toc1503534188"/>
      <w:bookmarkStart w:id="170" w:name="_Toc1108018207"/>
    </w:p>
    <w:bookmarkEnd w:id="169"/>
    <w:bookmarkEnd w:id="170"/>
    <w:p>
      <w:pPr>
        <w:pStyle w:val="4"/>
        <w:spacing w:before="312" w:after="312"/>
        <w:ind w:firstLine="0" w:firstLineChars="0"/>
        <w:jc w:val="center"/>
        <w:rPr>
          <w:rFonts w:hAnsi="仿宋" w:cs="仿宋"/>
          <w:bCs/>
          <w:color w:val="000000" w:themeColor="text1"/>
          <w:kern w:val="0"/>
          <w:sz w:val="40"/>
          <w:szCs w:val="40"/>
          <w:lang w:eastAsia="zh-CN"/>
        </w:rPr>
      </w:pPr>
      <w:bookmarkStart w:id="171" w:name="_Toc150435293"/>
      <w:r>
        <w:rPr>
          <w:rFonts w:hint="eastAsia" w:hAnsi="仿宋" w:cs="仿宋"/>
          <w:bCs/>
          <w:color w:val="000000" w:themeColor="text1"/>
          <w:kern w:val="0"/>
          <w:sz w:val="40"/>
          <w:szCs w:val="40"/>
          <w:lang w:eastAsia="zh-CN"/>
        </w:rPr>
        <w:t>目</w:t>
      </w:r>
      <w:r>
        <w:rPr>
          <w:rFonts w:hAnsi="仿宋" w:cs="仿宋"/>
          <w:bCs/>
          <w:color w:val="000000" w:themeColor="text1"/>
          <w:kern w:val="0"/>
          <w:sz w:val="40"/>
          <w:szCs w:val="40"/>
          <w:lang w:eastAsia="zh-CN"/>
        </w:rPr>
        <w:t xml:space="preserve"> </w:t>
      </w:r>
      <w:r>
        <w:rPr>
          <w:rFonts w:hint="eastAsia" w:hAnsi="仿宋" w:cs="仿宋"/>
          <w:bCs/>
          <w:color w:val="000000" w:themeColor="text1"/>
          <w:kern w:val="0"/>
          <w:sz w:val="40"/>
          <w:szCs w:val="40"/>
          <w:lang w:eastAsia="zh-CN"/>
        </w:rPr>
        <w:t>录</w:t>
      </w:r>
      <w:bookmarkEnd w:id="171"/>
    </w:p>
    <w:tbl>
      <w:tblPr>
        <w:tblStyle w:val="26"/>
        <w:tblW w:w="136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8"/>
        <w:gridCol w:w="3399"/>
        <w:gridCol w:w="7319"/>
        <w:gridCol w:w="10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jc w:val="center"/>
        </w:trPr>
        <w:tc>
          <w:tcPr>
            <w:tcW w:w="13608" w:type="dxa"/>
            <w:gridSpan w:val="4"/>
            <w:shd w:val="clear" w:color="auto" w:fill="auto"/>
            <w:noWrap/>
            <w:vAlign w:val="center"/>
          </w:tcPr>
          <w:p>
            <w:pPr>
              <w:widowControl/>
              <w:snapToGrid w:val="0"/>
              <w:jc w:val="center"/>
              <w:textAlignment w:val="center"/>
              <w:rPr>
                <w:rFonts w:ascii="仿宋_GB2312" w:hAnsi="仿宋" w:eastAsia="仿宋_GB2312" w:cs="仿宋"/>
                <w:b/>
                <w:bCs/>
                <w:color w:val="000000" w:themeColor="text1"/>
                <w:sz w:val="40"/>
                <w:szCs w:val="40"/>
              </w:rPr>
            </w:pPr>
            <w:r>
              <w:rPr>
                <w:rFonts w:hint="eastAsia" w:ascii="仿宋_GB2312" w:hAnsi="仿宋" w:eastAsia="仿宋_GB2312" w:cs="仿宋"/>
                <w:b/>
                <w:bCs/>
                <w:color w:val="000000" w:themeColor="text1"/>
                <w:kern w:val="0"/>
                <w:sz w:val="40"/>
                <w:szCs w:val="40"/>
              </w:rPr>
              <w:t>市容监管方面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1858" w:type="dxa"/>
            <w:shd w:val="clear" w:color="auto" w:fill="auto"/>
            <w:vAlign w:val="center"/>
          </w:tcPr>
          <w:p>
            <w:pPr>
              <w:widowControl/>
              <w:snapToGrid w:val="0"/>
              <w:jc w:val="center"/>
              <w:textAlignment w:val="center"/>
              <w:rPr>
                <w:rFonts w:ascii="仿宋_GB2312" w:hAnsi="仿宋" w:eastAsia="仿宋_GB2312" w:cs="仿宋"/>
                <w:b/>
                <w:bCs/>
                <w:color w:val="000000" w:themeColor="text1"/>
                <w:sz w:val="24"/>
              </w:rPr>
            </w:pPr>
            <w:r>
              <w:rPr>
                <w:rFonts w:hint="eastAsia" w:ascii="仿宋_GB2312" w:hAnsi="仿宋" w:eastAsia="仿宋_GB2312" w:cs="仿宋"/>
                <w:b/>
                <w:bCs/>
                <w:color w:val="000000" w:themeColor="text1"/>
                <w:kern w:val="0"/>
                <w:sz w:val="24"/>
              </w:rPr>
              <w:t>监管内容</w:t>
            </w:r>
          </w:p>
        </w:tc>
        <w:tc>
          <w:tcPr>
            <w:tcW w:w="3399" w:type="dxa"/>
            <w:shd w:val="clear" w:color="auto" w:fill="auto"/>
            <w:vAlign w:val="center"/>
          </w:tcPr>
          <w:p>
            <w:pPr>
              <w:widowControl/>
              <w:snapToGrid w:val="0"/>
              <w:jc w:val="center"/>
              <w:textAlignment w:val="center"/>
              <w:rPr>
                <w:rFonts w:ascii="仿宋_GB2312" w:hAnsi="仿宋" w:eastAsia="仿宋_GB2312" w:cs="仿宋"/>
                <w:b/>
                <w:bCs/>
                <w:color w:val="000000" w:themeColor="text1"/>
                <w:sz w:val="24"/>
              </w:rPr>
            </w:pPr>
            <w:r>
              <w:rPr>
                <w:rFonts w:hint="eastAsia" w:ascii="仿宋_GB2312" w:hAnsi="仿宋" w:eastAsia="仿宋_GB2312" w:cs="仿宋"/>
                <w:b/>
                <w:bCs/>
                <w:color w:val="000000" w:themeColor="text1"/>
                <w:kern w:val="0"/>
                <w:sz w:val="24"/>
              </w:rPr>
              <w:t>监管事项</w:t>
            </w:r>
          </w:p>
        </w:tc>
        <w:tc>
          <w:tcPr>
            <w:tcW w:w="7319" w:type="dxa"/>
            <w:shd w:val="clear" w:color="auto" w:fill="auto"/>
            <w:vAlign w:val="center"/>
          </w:tcPr>
          <w:p>
            <w:pPr>
              <w:widowControl/>
              <w:snapToGrid w:val="0"/>
              <w:jc w:val="center"/>
              <w:textAlignment w:val="center"/>
              <w:rPr>
                <w:rFonts w:ascii="仿宋_GB2312" w:hAnsi="仿宋" w:eastAsia="仿宋_GB2312" w:cs="仿宋"/>
                <w:b/>
                <w:bCs/>
                <w:color w:val="000000" w:themeColor="text1"/>
                <w:sz w:val="24"/>
              </w:rPr>
            </w:pPr>
            <w:r>
              <w:rPr>
                <w:rFonts w:hint="eastAsia" w:ascii="仿宋_GB2312" w:hAnsi="仿宋" w:eastAsia="仿宋_GB2312" w:cs="仿宋"/>
                <w:b/>
                <w:bCs/>
                <w:color w:val="000000" w:themeColor="text1"/>
                <w:kern w:val="0"/>
                <w:sz w:val="24"/>
              </w:rPr>
              <w:t>监管依据</w:t>
            </w:r>
          </w:p>
        </w:tc>
        <w:tc>
          <w:tcPr>
            <w:tcW w:w="1032" w:type="dxa"/>
            <w:shd w:val="clear" w:color="auto" w:fill="auto"/>
            <w:vAlign w:val="center"/>
          </w:tcPr>
          <w:p>
            <w:pPr>
              <w:widowControl/>
              <w:snapToGrid w:val="0"/>
              <w:jc w:val="center"/>
              <w:textAlignment w:val="center"/>
              <w:rPr>
                <w:rFonts w:ascii="仿宋_GB2312" w:hAnsi="仿宋" w:eastAsia="仿宋_GB2312" w:cs="仿宋"/>
                <w:b/>
                <w:bCs/>
                <w:color w:val="000000" w:themeColor="text1"/>
                <w:sz w:val="24"/>
              </w:rPr>
            </w:pPr>
            <w:r>
              <w:rPr>
                <w:rFonts w:hint="eastAsia" w:ascii="仿宋_GB2312" w:hAnsi="仿宋" w:eastAsia="仿宋_GB2312" w:cs="仿宋"/>
                <w:b/>
                <w:bCs/>
                <w:color w:val="000000" w:themeColor="text1"/>
                <w:kern w:val="0"/>
                <w:sz w:val="24"/>
              </w:rPr>
              <w:t>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jc w:val="center"/>
        </w:trPr>
        <w:tc>
          <w:tcPr>
            <w:tcW w:w="1858" w:type="dxa"/>
            <w:vMerge w:val="restart"/>
            <w:shd w:val="clear" w:color="auto" w:fill="auto"/>
            <w:vAlign w:val="center"/>
          </w:tcPr>
          <w:p>
            <w:pPr>
              <w:widowControl/>
              <w:snapToGrid w:val="0"/>
              <w:jc w:val="center"/>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一、架空线</w:t>
            </w:r>
          </w:p>
        </w:tc>
        <w:tc>
          <w:tcPr>
            <w:tcW w:w="339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（一）架空线清除</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《北京市架空线管理若干规定》《北京市市容环境卫生条例》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shd w:val="clear" w:color="auto" w:fill="FFFFFF" w:themeFill="background1"/>
              </w:rPr>
              <w:t>171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1858"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9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（二）架空线埋设</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《北京市架空线管理若干规定》《北京市市容环境卫生条例》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172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858" w:type="dxa"/>
            <w:vMerge w:val="restart"/>
            <w:shd w:val="clear" w:color="auto" w:fill="auto"/>
            <w:noWrap/>
            <w:vAlign w:val="center"/>
          </w:tcPr>
          <w:p>
            <w:pPr>
              <w:widowControl/>
              <w:snapToGrid w:val="0"/>
              <w:jc w:val="center"/>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二、维护管理</w:t>
            </w:r>
          </w:p>
        </w:tc>
        <w:tc>
          <w:tcPr>
            <w:tcW w:w="339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（一）维护市容环境卫生</w:t>
            </w:r>
          </w:p>
        </w:tc>
        <w:tc>
          <w:tcPr>
            <w:tcW w:w="7319" w:type="dxa"/>
            <w:shd w:val="clear" w:color="auto" w:fill="auto"/>
            <w:vAlign w:val="center"/>
          </w:tcPr>
          <w:p>
            <w:pPr>
              <w:widowControl/>
              <w:snapToGrid w:val="0"/>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《北京市市容环境卫生条例》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1</w:t>
            </w:r>
            <w:r>
              <w:rPr>
                <w:rFonts w:ascii="仿宋_GB2312" w:hAnsi="仿宋" w:eastAsia="仿宋_GB2312" w:cs="仿宋"/>
                <w:color w:val="000000" w:themeColor="text1"/>
                <w:sz w:val="24"/>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1858" w:type="dxa"/>
            <w:vMerge w:val="continue"/>
            <w:shd w:val="clear" w:color="auto" w:fill="auto"/>
            <w:noWrap/>
            <w:vAlign w:val="center"/>
          </w:tcPr>
          <w:p>
            <w:pPr>
              <w:snapToGrid w:val="0"/>
              <w:jc w:val="center"/>
              <w:rPr>
                <w:rFonts w:ascii="仿宋_GB2312" w:hAnsi="仿宋" w:eastAsia="仿宋_GB2312" w:cs="仿宋"/>
                <w:color w:val="000000" w:themeColor="text1"/>
                <w:sz w:val="24"/>
              </w:rPr>
            </w:pPr>
          </w:p>
        </w:tc>
        <w:tc>
          <w:tcPr>
            <w:tcW w:w="339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（二）维修废弃物</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《北京市市容环境卫生条例》《北京市城市道路和公共场所环境卫生管理若干规定》</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173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858" w:type="dxa"/>
            <w:vMerge w:val="continue"/>
            <w:shd w:val="clear" w:color="auto" w:fill="auto"/>
            <w:noWrap/>
            <w:vAlign w:val="center"/>
          </w:tcPr>
          <w:p>
            <w:pPr>
              <w:snapToGrid w:val="0"/>
              <w:jc w:val="center"/>
              <w:rPr>
                <w:rFonts w:ascii="仿宋_GB2312" w:hAnsi="仿宋" w:eastAsia="仿宋_GB2312" w:cs="仿宋"/>
                <w:color w:val="000000" w:themeColor="text1"/>
                <w:sz w:val="24"/>
              </w:rPr>
            </w:pPr>
          </w:p>
        </w:tc>
        <w:tc>
          <w:tcPr>
            <w:tcW w:w="339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（三）施工污染</w:t>
            </w:r>
          </w:p>
        </w:tc>
        <w:tc>
          <w:tcPr>
            <w:tcW w:w="7319" w:type="dxa"/>
            <w:shd w:val="clear" w:color="auto" w:fill="auto"/>
            <w:noWrap/>
            <w:vAlign w:val="center"/>
          </w:tcPr>
          <w:p>
            <w:pPr>
              <w:widowControl/>
              <w:snapToGrid w:val="0"/>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《北京市市容环境卫生条例》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174</w:t>
            </w:r>
          </w:p>
        </w:tc>
      </w:tr>
    </w:tbl>
    <w:p/>
    <w:tbl>
      <w:tblPr>
        <w:tblStyle w:val="26"/>
        <w:tblW w:w="136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8"/>
        <w:gridCol w:w="3399"/>
        <w:gridCol w:w="7319"/>
        <w:gridCol w:w="10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0" w:hRule="atLeast"/>
          <w:jc w:val="center"/>
        </w:trPr>
        <w:tc>
          <w:tcPr>
            <w:tcW w:w="1858" w:type="dxa"/>
            <w:vMerge w:val="restart"/>
            <w:shd w:val="clear" w:color="auto" w:fill="auto"/>
            <w:noWrap/>
            <w:vAlign w:val="center"/>
          </w:tcPr>
          <w:p>
            <w:pPr>
              <w:widowControl/>
              <w:snapToGrid w:val="0"/>
              <w:jc w:val="center"/>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二、维护管理</w:t>
            </w:r>
          </w:p>
        </w:tc>
        <w:tc>
          <w:tcPr>
            <w:tcW w:w="339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（四）对各单位落实“门前三包”责任制</w:t>
            </w:r>
          </w:p>
        </w:tc>
        <w:tc>
          <w:tcPr>
            <w:tcW w:w="7319" w:type="dxa"/>
            <w:shd w:val="clear" w:color="auto" w:fill="auto"/>
            <w:noWrap/>
            <w:vAlign w:val="center"/>
          </w:tcPr>
          <w:p>
            <w:pPr>
              <w:widowControl/>
              <w:snapToGrid w:val="0"/>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《北京市门前三包责任制管理办法》</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175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1858" w:type="dxa"/>
            <w:vMerge w:val="continue"/>
            <w:shd w:val="clear" w:color="auto" w:fill="auto"/>
            <w:noWrap/>
            <w:vAlign w:val="center"/>
          </w:tcPr>
          <w:p>
            <w:pPr>
              <w:snapToGrid w:val="0"/>
              <w:jc w:val="center"/>
              <w:rPr>
                <w:rFonts w:ascii="仿宋_GB2312" w:hAnsi="仿宋" w:eastAsia="仿宋_GB2312" w:cs="仿宋"/>
                <w:color w:val="000000" w:themeColor="text1"/>
                <w:sz w:val="24"/>
              </w:rPr>
            </w:pPr>
          </w:p>
        </w:tc>
        <w:tc>
          <w:tcPr>
            <w:tcW w:w="3399" w:type="dxa"/>
            <w:shd w:val="clear" w:color="auto" w:fill="auto"/>
            <w:noWrap/>
            <w:vAlign w:val="center"/>
          </w:tcPr>
          <w:p>
            <w:pPr>
              <w:widowControl/>
              <w:snapToGrid w:val="0"/>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（五）扫描铲冰</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《北京市人民政府关于扫雪铲冰管理的规定》</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858" w:type="dxa"/>
            <w:vMerge w:val="restart"/>
            <w:shd w:val="clear" w:color="auto" w:fill="auto"/>
            <w:vAlign w:val="center"/>
          </w:tcPr>
          <w:p>
            <w:pPr>
              <w:widowControl/>
              <w:snapToGrid w:val="0"/>
              <w:jc w:val="center"/>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三、照明</w:t>
            </w:r>
          </w:p>
        </w:tc>
        <w:tc>
          <w:tcPr>
            <w:tcW w:w="339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（一）破坏照明</w:t>
            </w:r>
          </w:p>
        </w:tc>
        <w:tc>
          <w:tcPr>
            <w:tcW w:w="7319" w:type="dxa"/>
            <w:shd w:val="clear" w:color="auto" w:fill="auto"/>
            <w:noWrap/>
            <w:vAlign w:val="center"/>
          </w:tcPr>
          <w:p>
            <w:pPr>
              <w:widowControl/>
              <w:snapToGrid w:val="0"/>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《城市照明管理规定》</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1</w:t>
            </w:r>
            <w:r>
              <w:rPr>
                <w:rFonts w:ascii="仿宋_GB2312" w:hAnsi="仿宋" w:eastAsia="仿宋_GB2312" w:cs="仿宋"/>
                <w:color w:val="000000" w:themeColor="text1"/>
                <w:sz w:val="24"/>
              </w:rPr>
              <w:t>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858"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9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（二）亮度限制</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《城市照明管理规定》</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1</w:t>
            </w:r>
            <w:r>
              <w:rPr>
                <w:rFonts w:ascii="仿宋_GB2312" w:hAnsi="仿宋" w:eastAsia="仿宋_GB2312" w:cs="仿宋"/>
                <w:color w:val="000000" w:themeColor="text1"/>
                <w:sz w:val="24"/>
              </w:rPr>
              <w:t>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858" w:type="dxa"/>
            <w:vMerge w:val="restart"/>
            <w:shd w:val="clear" w:color="auto" w:fill="auto"/>
            <w:vAlign w:val="center"/>
          </w:tcPr>
          <w:p>
            <w:pPr>
              <w:widowControl/>
              <w:snapToGrid w:val="0"/>
              <w:jc w:val="center"/>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四、消除四害</w:t>
            </w:r>
          </w:p>
        </w:tc>
        <w:tc>
          <w:tcPr>
            <w:tcW w:w="339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（一）防鼠措施</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《北京市除四害工作管理规定》</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1</w:t>
            </w:r>
            <w:r>
              <w:rPr>
                <w:rFonts w:ascii="仿宋_GB2312" w:hAnsi="仿宋" w:eastAsia="仿宋_GB2312" w:cs="仿宋"/>
                <w:color w:val="000000" w:themeColor="text1"/>
                <w:sz w:val="24"/>
              </w:rPr>
              <w:t>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858"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9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（二）防蚊蝇措施</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《北京市除四害工作管理规定》</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178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858"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9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（三）防蟑螂措施</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《北京市除四害工作管理规定》</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179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858"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9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（四）未配置相应设施、措施</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《北京市除四害工作管理规定》</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179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jc w:val="center"/>
        </w:trPr>
        <w:tc>
          <w:tcPr>
            <w:tcW w:w="1858" w:type="dxa"/>
            <w:shd w:val="clear" w:color="auto" w:fill="auto"/>
            <w:vAlign w:val="center"/>
          </w:tcPr>
          <w:p>
            <w:pPr>
              <w:widowControl/>
              <w:snapToGrid w:val="0"/>
              <w:jc w:val="center"/>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五、粪便处置</w:t>
            </w:r>
          </w:p>
        </w:tc>
        <w:tc>
          <w:tcPr>
            <w:tcW w:w="339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szCs w:val="21"/>
              </w:rPr>
              <w:t>粪便排放、清掏、倾倒</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《北京市市容环境卫生条例》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858" w:type="dxa"/>
            <w:shd w:val="clear" w:color="auto" w:fill="auto"/>
            <w:vAlign w:val="center"/>
          </w:tcPr>
          <w:p>
            <w:pPr>
              <w:widowControl/>
              <w:snapToGrid w:val="0"/>
              <w:jc w:val="center"/>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六、绿化</w:t>
            </w:r>
          </w:p>
        </w:tc>
        <w:tc>
          <w:tcPr>
            <w:tcW w:w="3399" w:type="dxa"/>
            <w:shd w:val="clear" w:color="auto" w:fill="auto"/>
            <w:vAlign w:val="center"/>
          </w:tcPr>
          <w:p>
            <w:pPr>
              <w:widowControl/>
              <w:snapToGrid w:val="0"/>
              <w:jc w:val="left"/>
              <w:textAlignment w:val="center"/>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（一）绿化养护</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《北京市绿化条例》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180</w:t>
            </w:r>
          </w:p>
        </w:tc>
      </w:tr>
    </w:tbl>
    <w:p/>
    <w:tbl>
      <w:tblPr>
        <w:tblStyle w:val="26"/>
        <w:tblW w:w="136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8"/>
        <w:gridCol w:w="67"/>
        <w:gridCol w:w="3332"/>
        <w:gridCol w:w="7319"/>
        <w:gridCol w:w="10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858" w:type="dxa"/>
            <w:vMerge w:val="restart"/>
            <w:shd w:val="clear" w:color="auto" w:fill="auto"/>
            <w:vAlign w:val="center"/>
          </w:tcPr>
          <w:p>
            <w:pPr>
              <w:widowControl/>
              <w:snapToGrid w:val="0"/>
              <w:jc w:val="center"/>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六、绿化</w:t>
            </w:r>
          </w:p>
        </w:tc>
        <w:tc>
          <w:tcPr>
            <w:tcW w:w="3399" w:type="dxa"/>
            <w:gridSpan w:val="2"/>
            <w:shd w:val="clear" w:color="auto" w:fill="auto"/>
            <w:vAlign w:val="center"/>
          </w:tcPr>
          <w:p>
            <w:pPr>
              <w:widowControl/>
              <w:snapToGrid w:val="0"/>
              <w:jc w:val="left"/>
              <w:textAlignment w:val="center"/>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（二）砍伐树木</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《北京市绿化条例》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182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858"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99" w:type="dxa"/>
            <w:gridSpan w:val="2"/>
            <w:shd w:val="clear" w:color="auto" w:fill="auto"/>
            <w:vAlign w:val="center"/>
          </w:tcPr>
          <w:p>
            <w:pPr>
              <w:widowControl/>
              <w:snapToGrid w:val="0"/>
              <w:jc w:val="left"/>
              <w:textAlignment w:val="center"/>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（三）改变绿地性质和用途</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《北京市绿化条例》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183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858"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99" w:type="dxa"/>
            <w:gridSpan w:val="2"/>
            <w:shd w:val="clear" w:color="auto" w:fill="auto"/>
            <w:vAlign w:val="center"/>
          </w:tcPr>
          <w:p>
            <w:pPr>
              <w:widowControl/>
              <w:snapToGrid w:val="0"/>
              <w:jc w:val="left"/>
              <w:textAlignment w:val="center"/>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（四）移植树木</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《北京市绿化条例》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184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858"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99" w:type="dxa"/>
            <w:gridSpan w:val="2"/>
            <w:shd w:val="clear" w:color="auto" w:fill="auto"/>
            <w:vAlign w:val="center"/>
          </w:tcPr>
          <w:p>
            <w:pPr>
              <w:widowControl/>
              <w:snapToGrid w:val="0"/>
              <w:jc w:val="left"/>
              <w:textAlignment w:val="center"/>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（五）绿地垃圾</w:t>
            </w:r>
          </w:p>
        </w:tc>
        <w:tc>
          <w:tcPr>
            <w:tcW w:w="7319" w:type="dxa"/>
            <w:shd w:val="clear" w:color="auto" w:fill="auto"/>
            <w:noWrap/>
            <w:vAlign w:val="center"/>
          </w:tcPr>
          <w:p>
            <w:pPr>
              <w:widowControl/>
              <w:snapToGrid w:val="0"/>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《北京市绿化条例》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184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858"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99" w:type="dxa"/>
            <w:gridSpan w:val="2"/>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（六）绿植悬挂其他物品</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《北京市绿化条例》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185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858"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99" w:type="dxa"/>
            <w:gridSpan w:val="2"/>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（七）损害绿化</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《北京市绿化条例》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185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jc w:val="center"/>
        </w:trPr>
        <w:tc>
          <w:tcPr>
            <w:tcW w:w="13608" w:type="dxa"/>
            <w:gridSpan w:val="5"/>
            <w:shd w:val="clear" w:color="auto" w:fill="auto"/>
            <w:noWrap/>
            <w:vAlign w:val="center"/>
          </w:tcPr>
          <w:p>
            <w:pPr>
              <w:widowControl/>
              <w:snapToGrid w:val="0"/>
              <w:jc w:val="center"/>
              <w:textAlignment w:val="center"/>
              <w:rPr>
                <w:rFonts w:ascii="仿宋_GB2312" w:hAnsi="仿宋" w:eastAsia="仿宋_GB2312" w:cs="仿宋"/>
                <w:b/>
                <w:bCs/>
                <w:color w:val="000000" w:themeColor="text1"/>
                <w:sz w:val="40"/>
                <w:szCs w:val="40"/>
              </w:rPr>
            </w:pPr>
            <w:r>
              <w:rPr>
                <w:rFonts w:hint="eastAsia" w:ascii="仿宋_GB2312" w:hAnsi="仿宋" w:eastAsia="仿宋_GB2312" w:cs="仿宋"/>
                <w:b/>
                <w:bCs/>
                <w:color w:val="000000" w:themeColor="text1"/>
                <w:kern w:val="0"/>
                <w:sz w:val="40"/>
                <w:szCs w:val="40"/>
              </w:rPr>
              <w:t>垃圾管理方面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925" w:type="dxa"/>
            <w:gridSpan w:val="2"/>
            <w:shd w:val="clear" w:color="auto" w:fill="auto"/>
            <w:vAlign w:val="center"/>
          </w:tcPr>
          <w:p>
            <w:pPr>
              <w:widowControl/>
              <w:snapToGrid w:val="0"/>
              <w:jc w:val="center"/>
              <w:textAlignment w:val="center"/>
              <w:rPr>
                <w:rFonts w:ascii="仿宋_GB2312" w:hAnsi="仿宋" w:eastAsia="仿宋_GB2312" w:cs="仿宋"/>
                <w:b/>
                <w:bCs/>
                <w:color w:val="000000" w:themeColor="text1"/>
                <w:sz w:val="24"/>
              </w:rPr>
            </w:pPr>
            <w:r>
              <w:rPr>
                <w:rFonts w:hint="eastAsia" w:ascii="仿宋_GB2312" w:hAnsi="仿宋" w:eastAsia="仿宋_GB2312" w:cs="仿宋"/>
                <w:b/>
                <w:bCs/>
                <w:color w:val="000000" w:themeColor="text1"/>
                <w:kern w:val="0"/>
                <w:sz w:val="24"/>
              </w:rPr>
              <w:t>监管内容</w:t>
            </w:r>
          </w:p>
        </w:tc>
        <w:tc>
          <w:tcPr>
            <w:tcW w:w="3332" w:type="dxa"/>
            <w:shd w:val="clear" w:color="auto" w:fill="auto"/>
            <w:vAlign w:val="center"/>
          </w:tcPr>
          <w:p>
            <w:pPr>
              <w:widowControl/>
              <w:snapToGrid w:val="0"/>
              <w:jc w:val="center"/>
              <w:textAlignment w:val="center"/>
              <w:rPr>
                <w:rFonts w:ascii="仿宋_GB2312" w:hAnsi="仿宋" w:eastAsia="仿宋_GB2312" w:cs="仿宋"/>
                <w:b/>
                <w:bCs/>
                <w:color w:val="000000" w:themeColor="text1"/>
                <w:sz w:val="24"/>
              </w:rPr>
            </w:pPr>
            <w:r>
              <w:rPr>
                <w:rFonts w:hint="eastAsia" w:ascii="仿宋_GB2312" w:hAnsi="仿宋" w:eastAsia="仿宋_GB2312" w:cs="仿宋"/>
                <w:b/>
                <w:bCs/>
                <w:color w:val="000000" w:themeColor="text1"/>
                <w:kern w:val="0"/>
                <w:sz w:val="24"/>
              </w:rPr>
              <w:t>监管事项</w:t>
            </w:r>
          </w:p>
        </w:tc>
        <w:tc>
          <w:tcPr>
            <w:tcW w:w="7319" w:type="dxa"/>
            <w:shd w:val="clear" w:color="auto" w:fill="auto"/>
            <w:vAlign w:val="center"/>
          </w:tcPr>
          <w:p>
            <w:pPr>
              <w:widowControl/>
              <w:snapToGrid w:val="0"/>
              <w:jc w:val="center"/>
              <w:textAlignment w:val="center"/>
              <w:rPr>
                <w:rFonts w:ascii="仿宋_GB2312" w:hAnsi="仿宋" w:eastAsia="仿宋_GB2312" w:cs="仿宋"/>
                <w:b/>
                <w:bCs/>
                <w:color w:val="000000" w:themeColor="text1"/>
                <w:sz w:val="24"/>
              </w:rPr>
            </w:pPr>
            <w:r>
              <w:rPr>
                <w:rFonts w:hint="eastAsia" w:ascii="仿宋_GB2312" w:hAnsi="仿宋" w:eastAsia="仿宋_GB2312" w:cs="仿宋"/>
                <w:b/>
                <w:bCs/>
                <w:color w:val="000000" w:themeColor="text1"/>
                <w:kern w:val="0"/>
                <w:sz w:val="24"/>
              </w:rPr>
              <w:t>监管依据</w:t>
            </w:r>
          </w:p>
        </w:tc>
        <w:tc>
          <w:tcPr>
            <w:tcW w:w="1032" w:type="dxa"/>
            <w:shd w:val="clear" w:color="auto" w:fill="auto"/>
            <w:vAlign w:val="center"/>
          </w:tcPr>
          <w:p>
            <w:pPr>
              <w:widowControl/>
              <w:snapToGrid w:val="0"/>
              <w:jc w:val="center"/>
              <w:textAlignment w:val="center"/>
              <w:rPr>
                <w:rFonts w:ascii="仿宋_GB2312" w:hAnsi="仿宋" w:eastAsia="仿宋_GB2312" w:cs="仿宋"/>
                <w:b/>
                <w:bCs/>
                <w:color w:val="000000" w:themeColor="text1"/>
                <w:sz w:val="24"/>
              </w:rPr>
            </w:pPr>
            <w:r>
              <w:rPr>
                <w:rFonts w:hint="eastAsia" w:ascii="仿宋_GB2312" w:hAnsi="仿宋" w:eastAsia="仿宋_GB2312" w:cs="仿宋"/>
                <w:b/>
                <w:bCs/>
                <w:color w:val="000000" w:themeColor="text1"/>
                <w:kern w:val="0"/>
                <w:sz w:val="24"/>
              </w:rPr>
              <w:t>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925" w:type="dxa"/>
            <w:gridSpan w:val="2"/>
            <w:vMerge w:val="restart"/>
            <w:shd w:val="clear" w:color="auto" w:fill="auto"/>
            <w:vAlign w:val="center"/>
          </w:tcPr>
          <w:p>
            <w:pPr>
              <w:widowControl/>
              <w:snapToGrid w:val="0"/>
              <w:jc w:val="center"/>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一、生活垃圾</w:t>
            </w: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（一）倾倒垃圾</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《中华人民共和国固体废物污染环境防治法》</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186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925" w:type="dxa"/>
            <w:gridSpan w:val="2"/>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（二）垃圾设施</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《中华人民共和国固体废物污染环境防治法》</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186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925" w:type="dxa"/>
            <w:gridSpan w:val="2"/>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（三）乱倒垃圾</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《北京市市容环境卫生条例》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187</w:t>
            </w:r>
          </w:p>
        </w:tc>
      </w:tr>
    </w:tbl>
    <w:p>
      <w:pPr>
        <w:snapToGrid w:val="0"/>
        <w:spacing w:line="20" w:lineRule="exact"/>
      </w:pPr>
    </w:p>
    <w:tbl>
      <w:tblPr>
        <w:tblStyle w:val="26"/>
        <w:tblW w:w="136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5"/>
        <w:gridCol w:w="3332"/>
        <w:gridCol w:w="7319"/>
        <w:gridCol w:w="10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925" w:type="dxa"/>
            <w:vMerge w:val="restart"/>
            <w:shd w:val="clear" w:color="auto" w:fill="auto"/>
            <w:vAlign w:val="center"/>
          </w:tcPr>
          <w:p>
            <w:pPr>
              <w:widowControl/>
              <w:snapToGrid w:val="0"/>
              <w:jc w:val="center"/>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一、生活垃圾</w:t>
            </w: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（四）生活垃圾制度、设施工具、容器管理、处置、登记及台账</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《北京市生活垃圾管理条例》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187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（五）未缴纳生活垃圾处理费</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《北京市生活垃圾管理条例》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190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（六）随意倾倒、抛洒或者堆放城市生活垃圾</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《北京市生活垃圾管理条例》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190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925" w:type="dxa"/>
            <w:vMerge w:val="restart"/>
            <w:shd w:val="clear" w:color="auto" w:fill="auto"/>
            <w:vAlign w:val="center"/>
          </w:tcPr>
          <w:p>
            <w:pPr>
              <w:widowControl/>
              <w:snapToGrid w:val="0"/>
              <w:jc w:val="center"/>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二、建筑垃圾</w:t>
            </w: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（一）建筑垃圾资源化利用</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szCs w:val="21"/>
              </w:rPr>
              <w:t>《</w:t>
            </w:r>
            <w:r>
              <w:rPr>
                <w:rFonts w:hint="eastAsia" w:ascii="仿宋_GB2312" w:hAnsi="仿宋" w:eastAsia="仿宋_GB2312" w:cs="仿宋"/>
                <w:bCs/>
                <w:color w:val="000000" w:themeColor="text1"/>
                <w:sz w:val="24"/>
                <w:szCs w:val="21"/>
              </w:rPr>
              <w:t>北京市建筑垃圾处置管理规定</w:t>
            </w:r>
            <w:r>
              <w:rPr>
                <w:rFonts w:hint="eastAsia" w:ascii="仿宋_GB2312" w:hAnsi="仿宋" w:eastAsia="仿宋_GB2312" w:cs="仿宋"/>
                <w:color w:val="000000" w:themeColor="text1"/>
                <w:sz w:val="24"/>
                <w:szCs w:val="21"/>
              </w:rPr>
              <w:t>》</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1</w:t>
            </w:r>
            <w:r>
              <w:rPr>
                <w:rFonts w:ascii="仿宋_GB2312" w:hAnsi="仿宋" w:eastAsia="仿宋_GB2312" w:cs="仿宋"/>
                <w:color w:val="000000" w:themeColor="text1"/>
                <w:sz w:val="24"/>
              </w:rPr>
              <w:t>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（二）建筑垃圾清运</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《北京市生活垃圾管理条例》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192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（三）</w:t>
            </w:r>
            <w:r>
              <w:rPr>
                <w:rFonts w:hint="eastAsia" w:ascii="仿宋_GB2312" w:hAnsi="仿宋" w:eastAsia="仿宋_GB2312" w:cs="仿宋"/>
                <w:color w:val="000000" w:themeColor="text1"/>
                <w:sz w:val="24"/>
                <w:szCs w:val="21"/>
              </w:rPr>
              <w:t>建筑垃圾的倾倒、堆放和处置</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szCs w:val="21"/>
              </w:rPr>
              <w:t>《</w:t>
            </w:r>
            <w:r>
              <w:rPr>
                <w:rFonts w:hint="eastAsia" w:ascii="仿宋_GB2312" w:hAnsi="仿宋" w:eastAsia="仿宋_GB2312" w:cs="仿宋"/>
                <w:bCs/>
                <w:color w:val="000000" w:themeColor="text1"/>
                <w:sz w:val="24"/>
                <w:szCs w:val="21"/>
              </w:rPr>
              <w:t>北京市建筑垃圾处置管理规定</w:t>
            </w:r>
            <w:r>
              <w:rPr>
                <w:rFonts w:hint="eastAsia" w:ascii="仿宋_GB2312" w:hAnsi="仿宋" w:eastAsia="仿宋_GB2312" w:cs="仿宋"/>
                <w:color w:val="000000" w:themeColor="text1"/>
                <w:sz w:val="24"/>
                <w:szCs w:val="21"/>
              </w:rPr>
              <w:t>》</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192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（四）</w:t>
            </w:r>
            <w:r>
              <w:rPr>
                <w:rFonts w:hint="eastAsia" w:ascii="仿宋_GB2312" w:hAnsi="仿宋" w:eastAsia="仿宋_GB2312" w:cs="仿宋"/>
                <w:color w:val="000000" w:themeColor="text1"/>
                <w:sz w:val="24"/>
                <w:szCs w:val="21"/>
              </w:rPr>
              <w:t>建筑垃圾的处理费用</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szCs w:val="21"/>
              </w:rPr>
              <w:t>《</w:t>
            </w:r>
            <w:r>
              <w:rPr>
                <w:rFonts w:hint="eastAsia" w:ascii="仿宋_GB2312" w:hAnsi="仿宋" w:eastAsia="仿宋_GB2312" w:cs="仿宋"/>
                <w:bCs/>
                <w:color w:val="000000" w:themeColor="text1"/>
                <w:sz w:val="24"/>
                <w:szCs w:val="21"/>
              </w:rPr>
              <w:t>北京市建筑垃圾处置管理规定</w:t>
            </w:r>
            <w:r>
              <w:rPr>
                <w:rFonts w:hint="eastAsia" w:ascii="仿宋_GB2312" w:hAnsi="仿宋" w:eastAsia="仿宋_GB2312" w:cs="仿宋"/>
                <w:color w:val="000000" w:themeColor="text1"/>
                <w:sz w:val="24"/>
                <w:szCs w:val="21"/>
              </w:rPr>
              <w:t>》</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194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3" w:hRule="atLeast"/>
          <w:jc w:val="center"/>
        </w:trPr>
        <w:tc>
          <w:tcPr>
            <w:tcW w:w="1925" w:type="dxa"/>
            <w:vMerge w:val="restart"/>
            <w:shd w:val="clear" w:color="auto" w:fill="auto"/>
            <w:vAlign w:val="center"/>
          </w:tcPr>
          <w:p>
            <w:pPr>
              <w:widowControl/>
              <w:snapToGrid w:val="0"/>
              <w:jc w:val="center"/>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三、垃圾分类</w:t>
            </w: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（一）物业企业未开展宣传或未指定专人负责指导、监督垃圾分类工作</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《北京市生活垃圾管理条例》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194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（二）单位和个人未按规定分类投放生活垃圾</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《北京市生活垃圾管理条例》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195</w:t>
            </w:r>
          </w:p>
        </w:tc>
      </w:tr>
    </w:tbl>
    <w:p/>
    <w:tbl>
      <w:tblPr>
        <w:tblStyle w:val="26"/>
        <w:tblW w:w="136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5"/>
        <w:gridCol w:w="3332"/>
        <w:gridCol w:w="7319"/>
        <w:gridCol w:w="10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jc w:val="center"/>
        </w:trPr>
        <w:tc>
          <w:tcPr>
            <w:tcW w:w="1925" w:type="dxa"/>
            <w:shd w:val="clear" w:color="auto" w:fill="auto"/>
            <w:vAlign w:val="center"/>
          </w:tcPr>
          <w:p>
            <w:pPr>
              <w:widowControl/>
              <w:snapToGrid w:val="0"/>
              <w:jc w:val="center"/>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三、垃圾分类</w:t>
            </w: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（三）物业企业未及时制止翻拣、混合已分类生活垃圾</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《北京市生活垃圾管理条例》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196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1925" w:type="dxa"/>
            <w:vMerge w:val="restart"/>
            <w:shd w:val="clear" w:color="auto" w:fill="auto"/>
            <w:vAlign w:val="center"/>
          </w:tcPr>
          <w:p>
            <w:pPr>
              <w:widowControl/>
              <w:snapToGrid w:val="0"/>
              <w:jc w:val="center"/>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四、垃圾清运</w:t>
            </w: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（一）</w:t>
            </w:r>
            <w:r>
              <w:rPr>
                <w:rFonts w:hint="eastAsia" w:ascii="仿宋_GB2312" w:hAnsi="仿宋" w:eastAsia="仿宋_GB2312" w:cs="仿宋"/>
                <w:color w:val="000000" w:themeColor="text1"/>
                <w:sz w:val="24"/>
                <w:szCs w:val="21"/>
              </w:rPr>
              <w:t>收集、运输生活垃圾规定</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《北京市生活垃圾管理条例》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196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（二）未按时、分类收集、运输生活垃圾</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《北京市生活垃圾管理条例》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198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（三）未按要求接收生活垃圾或未进行分类处理</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《北京市生活垃圾管理条例》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199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13608" w:type="dxa"/>
            <w:gridSpan w:val="4"/>
            <w:shd w:val="clear" w:color="auto" w:fill="auto"/>
            <w:noWrap/>
            <w:vAlign w:val="center"/>
          </w:tcPr>
          <w:p>
            <w:pPr>
              <w:snapToGrid w:val="0"/>
              <w:jc w:val="center"/>
              <w:rPr>
                <w:rFonts w:ascii="仿宋_GB2312" w:hAnsi="宋体" w:eastAsia="仿宋_GB2312" w:cs="宋体"/>
                <w:color w:val="000000" w:themeColor="text1"/>
                <w:sz w:val="22"/>
              </w:rPr>
            </w:pPr>
            <w:r>
              <w:rPr>
                <w:rFonts w:hint="eastAsia" w:ascii="仿宋_GB2312" w:hAnsi="仿宋" w:eastAsia="仿宋_GB2312" w:cs="仿宋"/>
                <w:b/>
                <w:bCs/>
                <w:color w:val="000000" w:themeColor="text1"/>
                <w:kern w:val="0"/>
                <w:sz w:val="40"/>
                <w:szCs w:val="40"/>
              </w:rPr>
              <w:t>设备设施监管方面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1925" w:type="dxa"/>
            <w:shd w:val="clear" w:color="auto" w:fill="auto"/>
            <w:vAlign w:val="center"/>
          </w:tcPr>
          <w:p>
            <w:pPr>
              <w:widowControl/>
              <w:snapToGrid w:val="0"/>
              <w:jc w:val="center"/>
              <w:textAlignment w:val="center"/>
              <w:rPr>
                <w:rFonts w:ascii="仿宋_GB2312" w:hAnsi="仿宋" w:eastAsia="仿宋_GB2312" w:cs="仿宋"/>
                <w:b/>
                <w:bCs/>
                <w:color w:val="000000" w:themeColor="text1"/>
                <w:sz w:val="24"/>
              </w:rPr>
            </w:pPr>
            <w:r>
              <w:rPr>
                <w:rFonts w:hint="eastAsia" w:ascii="仿宋_GB2312" w:hAnsi="仿宋" w:eastAsia="仿宋_GB2312" w:cs="仿宋"/>
                <w:b/>
                <w:bCs/>
                <w:color w:val="000000" w:themeColor="text1"/>
                <w:kern w:val="0"/>
                <w:sz w:val="24"/>
              </w:rPr>
              <w:t>监管内容</w:t>
            </w:r>
          </w:p>
        </w:tc>
        <w:tc>
          <w:tcPr>
            <w:tcW w:w="3332" w:type="dxa"/>
            <w:shd w:val="clear" w:color="auto" w:fill="auto"/>
            <w:vAlign w:val="center"/>
          </w:tcPr>
          <w:p>
            <w:pPr>
              <w:widowControl/>
              <w:snapToGrid w:val="0"/>
              <w:jc w:val="center"/>
              <w:textAlignment w:val="center"/>
              <w:rPr>
                <w:rFonts w:ascii="仿宋_GB2312" w:hAnsi="仿宋" w:eastAsia="仿宋_GB2312" w:cs="仿宋"/>
                <w:b/>
                <w:bCs/>
                <w:color w:val="000000" w:themeColor="text1"/>
                <w:sz w:val="24"/>
              </w:rPr>
            </w:pPr>
            <w:r>
              <w:rPr>
                <w:rFonts w:hint="eastAsia" w:ascii="仿宋_GB2312" w:hAnsi="仿宋" w:eastAsia="仿宋_GB2312" w:cs="仿宋"/>
                <w:b/>
                <w:bCs/>
                <w:color w:val="000000" w:themeColor="text1"/>
                <w:kern w:val="0"/>
                <w:sz w:val="24"/>
              </w:rPr>
              <w:t>监管事项</w:t>
            </w:r>
          </w:p>
        </w:tc>
        <w:tc>
          <w:tcPr>
            <w:tcW w:w="7319" w:type="dxa"/>
            <w:shd w:val="clear" w:color="auto" w:fill="auto"/>
            <w:vAlign w:val="center"/>
          </w:tcPr>
          <w:p>
            <w:pPr>
              <w:widowControl/>
              <w:snapToGrid w:val="0"/>
              <w:jc w:val="center"/>
              <w:textAlignment w:val="center"/>
              <w:rPr>
                <w:rFonts w:ascii="仿宋_GB2312" w:hAnsi="仿宋" w:eastAsia="仿宋_GB2312" w:cs="仿宋"/>
                <w:b/>
                <w:bCs/>
                <w:color w:val="000000" w:themeColor="text1"/>
                <w:sz w:val="24"/>
              </w:rPr>
            </w:pPr>
            <w:r>
              <w:rPr>
                <w:rFonts w:hint="eastAsia" w:ascii="仿宋_GB2312" w:hAnsi="仿宋" w:eastAsia="仿宋_GB2312" w:cs="仿宋"/>
                <w:b/>
                <w:bCs/>
                <w:color w:val="000000" w:themeColor="text1"/>
                <w:kern w:val="0"/>
                <w:sz w:val="24"/>
              </w:rPr>
              <w:t>监管依据</w:t>
            </w:r>
          </w:p>
        </w:tc>
        <w:tc>
          <w:tcPr>
            <w:tcW w:w="1032" w:type="dxa"/>
            <w:shd w:val="clear" w:color="auto" w:fill="auto"/>
            <w:vAlign w:val="center"/>
          </w:tcPr>
          <w:p>
            <w:pPr>
              <w:widowControl/>
              <w:snapToGrid w:val="0"/>
              <w:jc w:val="center"/>
              <w:textAlignment w:val="center"/>
              <w:rPr>
                <w:rFonts w:ascii="仿宋_GB2312" w:hAnsi="仿宋" w:eastAsia="仿宋_GB2312" w:cs="仿宋"/>
                <w:b/>
                <w:bCs/>
                <w:color w:val="000000" w:themeColor="text1"/>
                <w:sz w:val="24"/>
              </w:rPr>
            </w:pPr>
            <w:r>
              <w:rPr>
                <w:rFonts w:hint="eastAsia" w:ascii="仿宋_GB2312" w:hAnsi="仿宋" w:eastAsia="仿宋_GB2312" w:cs="仿宋"/>
                <w:b/>
                <w:bCs/>
                <w:color w:val="000000" w:themeColor="text1"/>
                <w:kern w:val="0"/>
                <w:sz w:val="24"/>
              </w:rPr>
              <w:t>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1925" w:type="dxa"/>
            <w:vMerge w:val="restart"/>
            <w:shd w:val="clear" w:color="auto" w:fill="auto"/>
            <w:vAlign w:val="center"/>
          </w:tcPr>
          <w:p>
            <w:pPr>
              <w:widowControl/>
              <w:snapToGrid w:val="0"/>
              <w:jc w:val="center"/>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一、水务管理</w:t>
            </w: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（一）污水处理</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《城镇排水与污水处理条例》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（二）井盖丢失</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《城镇排水与污水处理条例》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201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（三）取水用水</w:t>
            </w:r>
          </w:p>
        </w:tc>
        <w:tc>
          <w:tcPr>
            <w:tcW w:w="7319" w:type="dxa"/>
            <w:shd w:val="clear" w:color="auto" w:fill="auto"/>
            <w:vAlign w:val="center"/>
          </w:tcPr>
          <w:p>
            <w:pPr>
              <w:pStyle w:val="48"/>
              <w:ind w:left="0" w:leftChars="0"/>
              <w:rPr>
                <w:b/>
                <w:color w:val="000000" w:themeColor="text1"/>
              </w:rPr>
            </w:pPr>
            <w:r>
              <w:rPr>
                <w:rFonts w:hint="eastAsia" w:ascii="仿宋_GB2312" w:hAnsi="仿宋" w:eastAsia="仿宋_GB2312" w:cs="仿宋"/>
                <w:color w:val="000000" w:themeColor="text1"/>
                <w:kern w:val="0"/>
                <w:sz w:val="24"/>
              </w:rPr>
              <w:t>《中华人民共和国水法》《北京市节水条例》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201</w:t>
            </w:r>
          </w:p>
        </w:tc>
      </w:tr>
    </w:tbl>
    <w:p>
      <w:pPr>
        <w:spacing w:line="20" w:lineRule="exact"/>
      </w:pPr>
    </w:p>
    <w:tbl>
      <w:tblPr>
        <w:tblStyle w:val="26"/>
        <w:tblW w:w="136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5"/>
        <w:gridCol w:w="3332"/>
        <w:gridCol w:w="7319"/>
        <w:gridCol w:w="10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1925" w:type="dxa"/>
            <w:vMerge w:val="restart"/>
            <w:shd w:val="clear" w:color="auto" w:fill="auto"/>
            <w:vAlign w:val="center"/>
          </w:tcPr>
          <w:p>
            <w:pPr>
              <w:widowControl/>
              <w:snapToGrid w:val="0"/>
              <w:jc w:val="center"/>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一、水务管理</w:t>
            </w: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（四）污水排放</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《城镇排水与污水处理条例》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202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（五）接受检查</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《城镇污水排入排水管网许可管理办法》</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204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（六）节约用水</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《北京市节水条例》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（七）管线管理</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《北京市城市公共供水管理办法》《城市供水条例》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208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（八）设备管理</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《北京市城市公共供水管理办法》</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208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1925" w:type="dxa"/>
            <w:vMerge w:val="restart"/>
            <w:shd w:val="clear" w:color="auto" w:fill="auto"/>
            <w:vAlign w:val="center"/>
          </w:tcPr>
          <w:p>
            <w:pPr>
              <w:widowControl/>
              <w:snapToGrid w:val="0"/>
              <w:jc w:val="center"/>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二、供热</w:t>
            </w: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（一）影响供热设施安全</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《北京市供热采暖管理办法》</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209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（二）损坏装置系统</w:t>
            </w:r>
          </w:p>
        </w:tc>
        <w:tc>
          <w:tcPr>
            <w:tcW w:w="7319" w:type="dxa"/>
            <w:shd w:val="clear" w:color="auto" w:fill="auto"/>
            <w:vAlign w:val="center"/>
          </w:tcPr>
          <w:p>
            <w:pPr>
              <w:widowControl/>
              <w:snapToGrid w:val="0"/>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《北京市民用建筑节能管理办法》</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9"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FFFFFF"/>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（三）禁止在供热设施及管线周围堆放杂物</w:t>
            </w:r>
          </w:p>
        </w:tc>
        <w:tc>
          <w:tcPr>
            <w:tcW w:w="7319" w:type="dxa"/>
            <w:shd w:val="clear" w:color="auto" w:fill="auto"/>
            <w:vAlign w:val="center"/>
          </w:tcPr>
          <w:p>
            <w:pPr>
              <w:widowControl/>
              <w:snapToGrid w:val="0"/>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《北京市供热采暖管理办法》</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FFFFFF"/>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（四）严禁私自并网</w:t>
            </w:r>
          </w:p>
        </w:tc>
        <w:tc>
          <w:tcPr>
            <w:tcW w:w="7319" w:type="dxa"/>
            <w:shd w:val="clear" w:color="auto" w:fill="auto"/>
            <w:vAlign w:val="center"/>
          </w:tcPr>
          <w:p>
            <w:pPr>
              <w:widowControl/>
              <w:snapToGrid w:val="0"/>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《北京市供热采暖管理办法》</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211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FFFFFF"/>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（五）禁止排放管线</w:t>
            </w:r>
          </w:p>
        </w:tc>
        <w:tc>
          <w:tcPr>
            <w:tcW w:w="7319" w:type="dxa"/>
            <w:shd w:val="clear" w:color="auto" w:fill="auto"/>
            <w:vAlign w:val="center"/>
          </w:tcPr>
          <w:p>
            <w:pPr>
              <w:widowControl/>
              <w:snapToGrid w:val="0"/>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《北京市供热采暖管理办法》</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211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FFFFFF"/>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（六）破坏燃气警示标志</w:t>
            </w:r>
          </w:p>
        </w:tc>
        <w:tc>
          <w:tcPr>
            <w:tcW w:w="7319" w:type="dxa"/>
            <w:shd w:val="clear" w:color="auto" w:fill="auto"/>
            <w:vAlign w:val="center"/>
          </w:tcPr>
          <w:p>
            <w:pPr>
              <w:widowControl/>
              <w:snapToGrid w:val="0"/>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《北京市供热采暖管理办法》</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211</w:t>
            </w:r>
          </w:p>
        </w:tc>
      </w:tr>
    </w:tbl>
    <w:p/>
    <w:tbl>
      <w:tblPr>
        <w:tblStyle w:val="26"/>
        <w:tblW w:w="136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5"/>
        <w:gridCol w:w="3332"/>
        <w:gridCol w:w="7319"/>
        <w:gridCol w:w="10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1925" w:type="dxa"/>
            <w:vMerge w:val="restart"/>
            <w:shd w:val="clear" w:color="auto" w:fill="auto"/>
            <w:vAlign w:val="center"/>
          </w:tcPr>
          <w:p>
            <w:pPr>
              <w:widowControl/>
              <w:snapToGrid w:val="0"/>
              <w:jc w:val="center"/>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二、供热</w:t>
            </w:r>
          </w:p>
        </w:tc>
        <w:tc>
          <w:tcPr>
            <w:tcW w:w="3332" w:type="dxa"/>
            <w:shd w:val="clear" w:color="auto" w:fill="FFFFFF"/>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（七）损害供热设施</w:t>
            </w:r>
          </w:p>
        </w:tc>
        <w:tc>
          <w:tcPr>
            <w:tcW w:w="7319" w:type="dxa"/>
            <w:shd w:val="clear" w:color="auto" w:fill="auto"/>
            <w:vAlign w:val="center"/>
          </w:tcPr>
          <w:p>
            <w:pPr>
              <w:widowControl/>
              <w:snapToGrid w:val="0"/>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《北京市供热采暖管理办法》</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212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FFFFFF"/>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（八）禁止向供热管沟内排放、取用管线热水</w:t>
            </w:r>
          </w:p>
        </w:tc>
        <w:tc>
          <w:tcPr>
            <w:tcW w:w="7319" w:type="dxa"/>
            <w:shd w:val="clear" w:color="auto" w:fill="auto"/>
            <w:vAlign w:val="center"/>
          </w:tcPr>
          <w:p>
            <w:pPr>
              <w:widowControl/>
              <w:snapToGrid w:val="0"/>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《北京市供热采暖管理办法》</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212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FFFFFF"/>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（九）未进行供热巡检</w:t>
            </w:r>
          </w:p>
        </w:tc>
        <w:tc>
          <w:tcPr>
            <w:tcW w:w="7319" w:type="dxa"/>
            <w:shd w:val="clear" w:color="auto" w:fill="auto"/>
            <w:vAlign w:val="center"/>
          </w:tcPr>
          <w:p>
            <w:pPr>
              <w:widowControl/>
              <w:snapToGrid w:val="0"/>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《北京市供热采暖管理办法》</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213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925" w:type="dxa"/>
            <w:vMerge w:val="restart"/>
            <w:shd w:val="clear" w:color="auto" w:fill="auto"/>
            <w:vAlign w:val="center"/>
          </w:tcPr>
          <w:p>
            <w:pPr>
              <w:widowControl/>
              <w:snapToGrid w:val="0"/>
              <w:jc w:val="center"/>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三、燃气</w:t>
            </w: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（一）擅自操作公用燃气阀门</w:t>
            </w:r>
          </w:p>
        </w:tc>
        <w:tc>
          <w:tcPr>
            <w:tcW w:w="7319" w:type="dxa"/>
            <w:shd w:val="clear" w:color="auto" w:fill="auto"/>
            <w:vAlign w:val="center"/>
          </w:tcPr>
          <w:p>
            <w:pPr>
              <w:widowControl/>
              <w:snapToGrid w:val="0"/>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《城镇燃气管理条例》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214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（二）使用天然气、液化石油气未安装浓度检测报警装置</w:t>
            </w:r>
          </w:p>
        </w:tc>
        <w:tc>
          <w:tcPr>
            <w:tcW w:w="7319" w:type="dxa"/>
            <w:shd w:val="clear" w:color="auto" w:fill="auto"/>
            <w:vAlign w:val="center"/>
          </w:tcPr>
          <w:p>
            <w:pPr>
              <w:widowControl/>
              <w:snapToGrid w:val="0"/>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《北京市消防条例》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214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（三）地下室燃气使用安全</w:t>
            </w:r>
          </w:p>
        </w:tc>
        <w:tc>
          <w:tcPr>
            <w:tcW w:w="7319" w:type="dxa"/>
            <w:shd w:val="clear" w:color="auto" w:fill="auto"/>
            <w:vAlign w:val="center"/>
          </w:tcPr>
          <w:p>
            <w:pPr>
              <w:widowControl/>
              <w:snapToGrid w:val="0"/>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《城镇燃气管理条例》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215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925" w:type="dxa"/>
            <w:vMerge w:val="restart"/>
            <w:shd w:val="clear" w:color="auto" w:fill="auto"/>
            <w:vAlign w:val="center"/>
          </w:tcPr>
          <w:p>
            <w:pPr>
              <w:widowControl/>
              <w:snapToGrid w:val="0"/>
              <w:jc w:val="center"/>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四、供电</w:t>
            </w: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（一）危害供电</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《中华人民共和国电力法》</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216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（二）危害供电设施</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《电力设施保护条例》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216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（三）危害供用电安全</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《供用电监督管理办法》</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216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1925" w:type="dxa"/>
            <w:shd w:val="clear" w:color="auto" w:fill="auto"/>
            <w:vAlign w:val="center"/>
          </w:tcPr>
          <w:p>
            <w:pPr>
              <w:widowControl/>
              <w:snapToGrid w:val="0"/>
              <w:jc w:val="center"/>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五、电梯</w:t>
            </w: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（一）安全使用说明、安全注意事项和警示标志</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《中华人民共和国特种设备安全法》</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217</w:t>
            </w:r>
          </w:p>
        </w:tc>
      </w:tr>
    </w:tbl>
    <w:p>
      <w:pPr>
        <w:spacing w:line="20" w:lineRule="exact"/>
      </w:pPr>
    </w:p>
    <w:tbl>
      <w:tblPr>
        <w:tblStyle w:val="26"/>
        <w:tblW w:w="136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5"/>
        <w:gridCol w:w="3332"/>
        <w:gridCol w:w="7319"/>
        <w:gridCol w:w="10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925" w:type="dxa"/>
            <w:vMerge w:val="restart"/>
            <w:shd w:val="clear" w:color="auto" w:fill="auto"/>
            <w:vAlign w:val="center"/>
          </w:tcPr>
          <w:p>
            <w:pPr>
              <w:widowControl/>
              <w:snapToGrid w:val="0"/>
              <w:jc w:val="center"/>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五、电梯</w:t>
            </w: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（二）紧急报警装置</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《北京市电梯安全监督管理办法》</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217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（三）《安全检验合格》标志</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《北京市电梯安全监督管理办法》</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217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（四）使用单位应急救援措施</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《北京市电梯安全监督管理办法》</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217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（五）安全教育和技术培训</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《北京市电梯安全监督管理办法》</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218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（六）持证上岗</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《北京市电梯安全监督管理办法》</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218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9"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（七）施工、维修和日常维护保养资质</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《北京市电梯安全监督管理办法》</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218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（八）未执行电梯安全管理地方标准</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《北京市电梯安全监督管理办法》</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218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（九）设置安全管理机构或配备专职安全管理人员</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《中华人民共和国特种设备安全法》</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218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（十）维护保养电梯的安全技术性能</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《北京市电梯安全监督管理办法》</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219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（十一）维护保养现场安全防护措施</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《中华人民共和国特种设备安全法》</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219</w:t>
            </w:r>
          </w:p>
        </w:tc>
      </w:tr>
    </w:tbl>
    <w:p>
      <w:pPr>
        <w:snapToGrid w:val="0"/>
        <w:spacing w:line="20" w:lineRule="exact"/>
      </w:pPr>
    </w:p>
    <w:tbl>
      <w:tblPr>
        <w:tblStyle w:val="26"/>
        <w:tblW w:w="136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5"/>
        <w:gridCol w:w="3332"/>
        <w:gridCol w:w="7319"/>
        <w:gridCol w:w="10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jc w:val="center"/>
        </w:trPr>
        <w:tc>
          <w:tcPr>
            <w:tcW w:w="1925" w:type="dxa"/>
            <w:vMerge w:val="restart"/>
            <w:shd w:val="clear" w:color="auto" w:fill="auto"/>
            <w:vAlign w:val="center"/>
          </w:tcPr>
          <w:p>
            <w:pPr>
              <w:widowControl/>
              <w:snapToGrid w:val="0"/>
              <w:jc w:val="center"/>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五、电梯</w:t>
            </w: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（十二）维护保养单位应急救援措施</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《中华人民共和国特种设备安全法》</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219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（十三）施工和维修许可</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《中华人民共和国特种设备安全法》</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（十四）日常维护保养</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《特种设备安全监察条例》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9"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textAlignment w:val="top"/>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（十五）安装、改造、重大维修过程监督检验</w:t>
            </w:r>
          </w:p>
        </w:tc>
        <w:tc>
          <w:tcPr>
            <w:tcW w:w="7319" w:type="dxa"/>
            <w:shd w:val="clear" w:color="auto" w:fill="auto"/>
            <w:vAlign w:val="center"/>
          </w:tcPr>
          <w:p>
            <w:pPr>
              <w:widowControl/>
              <w:snapToGrid w:val="0"/>
              <w:textAlignment w:val="top"/>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《特种设备安全监察条例》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221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925" w:type="dxa"/>
            <w:vMerge w:val="restart"/>
            <w:shd w:val="clear" w:color="auto" w:fill="auto"/>
            <w:vAlign w:val="center"/>
          </w:tcPr>
          <w:p>
            <w:pPr>
              <w:widowControl/>
              <w:snapToGrid w:val="0"/>
              <w:jc w:val="center"/>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六、公共区域及共用设施</w:t>
            </w: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（一）物业管理区域内道路、场地的管理使用</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《物业管理条例》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221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（二）物业共用部位、共用设施设备的利用经营</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《物业管理条例》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222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（三）违规在居住区公共区域内设置障碍物</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《北京市机动车停车条例》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222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（四）擅自改变公共建筑和共用设施用途</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《物业管理条例》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223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1925" w:type="dxa"/>
            <w:shd w:val="clear" w:color="auto" w:fill="auto"/>
            <w:vAlign w:val="center"/>
          </w:tcPr>
          <w:p>
            <w:pPr>
              <w:widowControl/>
              <w:snapToGrid w:val="0"/>
              <w:jc w:val="center"/>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七、能源管理</w:t>
            </w:r>
          </w:p>
        </w:tc>
        <w:tc>
          <w:tcPr>
            <w:tcW w:w="3332" w:type="dxa"/>
            <w:shd w:val="clear" w:color="auto" w:fill="auto"/>
            <w:vAlign w:val="center"/>
          </w:tcPr>
          <w:p>
            <w:pPr>
              <w:widowControl/>
              <w:snapToGrid w:val="0"/>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公共建筑室内温度控制</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《北京市民用建筑节能管理办法》</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224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jc w:val="center"/>
        </w:trPr>
        <w:tc>
          <w:tcPr>
            <w:tcW w:w="1925" w:type="dxa"/>
            <w:shd w:val="clear" w:color="auto" w:fill="auto"/>
            <w:vAlign w:val="center"/>
          </w:tcPr>
          <w:p>
            <w:pPr>
              <w:widowControl/>
              <w:snapToGrid w:val="0"/>
              <w:jc w:val="center"/>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szCs w:val="21"/>
              </w:rPr>
              <w:t>八、锅炉、压力容器、起重机械</w:t>
            </w: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安装、改造、重大维修及清洗过程监督检验</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《特种设备安全监察条例》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ascii="仿宋_GB2312" w:hAnsi="仿宋" w:eastAsia="仿宋_GB2312" w:cs="仿宋"/>
                <w:color w:val="000000" w:themeColor="text1"/>
                <w:sz w:val="24"/>
              </w:rPr>
              <w:t>224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3608" w:type="dxa"/>
            <w:gridSpan w:val="4"/>
            <w:shd w:val="clear" w:color="auto" w:fill="auto"/>
            <w:noWrap/>
            <w:vAlign w:val="center"/>
          </w:tcPr>
          <w:p>
            <w:pPr>
              <w:widowControl/>
              <w:snapToGrid w:val="0"/>
              <w:jc w:val="center"/>
              <w:textAlignment w:val="center"/>
              <w:rPr>
                <w:rFonts w:ascii="仿宋_GB2312" w:hAnsi="仿宋" w:eastAsia="仿宋_GB2312" w:cs="仿宋"/>
                <w:b/>
                <w:bCs/>
                <w:color w:val="000000" w:themeColor="text1"/>
                <w:sz w:val="40"/>
                <w:szCs w:val="40"/>
              </w:rPr>
            </w:pPr>
            <w:r>
              <w:rPr>
                <w:rFonts w:hint="eastAsia" w:ascii="仿宋_GB2312" w:hAnsi="仿宋" w:eastAsia="仿宋_GB2312" w:cs="仿宋"/>
                <w:b/>
                <w:bCs/>
                <w:color w:val="000000" w:themeColor="text1"/>
                <w:kern w:val="0"/>
                <w:sz w:val="40"/>
                <w:szCs w:val="40"/>
              </w:rPr>
              <w:t>日常监管方面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1925" w:type="dxa"/>
            <w:shd w:val="clear" w:color="auto" w:fill="auto"/>
            <w:vAlign w:val="center"/>
          </w:tcPr>
          <w:p>
            <w:pPr>
              <w:widowControl/>
              <w:snapToGrid w:val="0"/>
              <w:jc w:val="center"/>
              <w:textAlignment w:val="center"/>
              <w:rPr>
                <w:rFonts w:ascii="仿宋_GB2312" w:hAnsi="仿宋" w:eastAsia="仿宋_GB2312" w:cs="仿宋"/>
                <w:b/>
                <w:bCs/>
                <w:color w:val="000000" w:themeColor="text1"/>
                <w:sz w:val="24"/>
              </w:rPr>
            </w:pPr>
            <w:r>
              <w:rPr>
                <w:rFonts w:hint="eastAsia" w:ascii="仿宋_GB2312" w:hAnsi="仿宋" w:eastAsia="仿宋_GB2312" w:cs="仿宋"/>
                <w:b/>
                <w:bCs/>
                <w:color w:val="000000" w:themeColor="text1"/>
                <w:kern w:val="0"/>
                <w:sz w:val="24"/>
              </w:rPr>
              <w:t>监管内容</w:t>
            </w:r>
          </w:p>
        </w:tc>
        <w:tc>
          <w:tcPr>
            <w:tcW w:w="3332" w:type="dxa"/>
            <w:shd w:val="clear" w:color="auto" w:fill="auto"/>
            <w:vAlign w:val="center"/>
          </w:tcPr>
          <w:p>
            <w:pPr>
              <w:widowControl/>
              <w:snapToGrid w:val="0"/>
              <w:jc w:val="center"/>
              <w:textAlignment w:val="center"/>
              <w:rPr>
                <w:rFonts w:ascii="仿宋_GB2312" w:hAnsi="仿宋" w:eastAsia="仿宋_GB2312" w:cs="仿宋"/>
                <w:b/>
                <w:bCs/>
                <w:color w:val="000000" w:themeColor="text1"/>
                <w:sz w:val="24"/>
              </w:rPr>
            </w:pPr>
            <w:r>
              <w:rPr>
                <w:rFonts w:hint="eastAsia" w:ascii="仿宋_GB2312" w:hAnsi="仿宋" w:eastAsia="仿宋_GB2312" w:cs="仿宋"/>
                <w:b/>
                <w:bCs/>
                <w:color w:val="000000" w:themeColor="text1"/>
                <w:kern w:val="0"/>
                <w:sz w:val="24"/>
              </w:rPr>
              <w:t>监管事项</w:t>
            </w:r>
          </w:p>
        </w:tc>
        <w:tc>
          <w:tcPr>
            <w:tcW w:w="7319" w:type="dxa"/>
            <w:shd w:val="clear" w:color="auto" w:fill="auto"/>
            <w:vAlign w:val="center"/>
          </w:tcPr>
          <w:p>
            <w:pPr>
              <w:widowControl/>
              <w:snapToGrid w:val="0"/>
              <w:jc w:val="center"/>
              <w:textAlignment w:val="center"/>
              <w:rPr>
                <w:rFonts w:ascii="仿宋_GB2312" w:hAnsi="仿宋" w:eastAsia="仿宋_GB2312" w:cs="仿宋"/>
                <w:b/>
                <w:bCs/>
                <w:color w:val="000000" w:themeColor="text1"/>
                <w:sz w:val="24"/>
              </w:rPr>
            </w:pPr>
            <w:r>
              <w:rPr>
                <w:rFonts w:hint="eastAsia" w:ascii="仿宋_GB2312" w:hAnsi="仿宋" w:eastAsia="仿宋_GB2312" w:cs="仿宋"/>
                <w:b/>
                <w:bCs/>
                <w:color w:val="000000" w:themeColor="text1"/>
                <w:kern w:val="0"/>
                <w:sz w:val="24"/>
              </w:rPr>
              <w:t>监管依据</w:t>
            </w:r>
          </w:p>
        </w:tc>
        <w:tc>
          <w:tcPr>
            <w:tcW w:w="1032" w:type="dxa"/>
            <w:shd w:val="clear" w:color="auto" w:fill="auto"/>
            <w:vAlign w:val="center"/>
          </w:tcPr>
          <w:p>
            <w:pPr>
              <w:widowControl/>
              <w:snapToGrid w:val="0"/>
              <w:jc w:val="center"/>
              <w:textAlignment w:val="center"/>
              <w:rPr>
                <w:rFonts w:ascii="仿宋_GB2312" w:hAnsi="仿宋" w:eastAsia="仿宋_GB2312" w:cs="仿宋"/>
                <w:b/>
                <w:bCs/>
                <w:color w:val="000000" w:themeColor="text1"/>
                <w:sz w:val="24"/>
              </w:rPr>
            </w:pPr>
            <w:r>
              <w:rPr>
                <w:rFonts w:hint="eastAsia" w:ascii="仿宋_GB2312" w:hAnsi="仿宋" w:eastAsia="仿宋_GB2312" w:cs="仿宋"/>
                <w:b/>
                <w:bCs/>
                <w:color w:val="000000" w:themeColor="text1"/>
                <w:kern w:val="0"/>
                <w:sz w:val="24"/>
              </w:rPr>
              <w:t>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925" w:type="dxa"/>
            <w:vMerge w:val="restart"/>
            <w:shd w:val="clear" w:color="auto" w:fill="auto"/>
            <w:vAlign w:val="center"/>
          </w:tcPr>
          <w:p>
            <w:pPr>
              <w:widowControl/>
              <w:snapToGrid w:val="0"/>
              <w:jc w:val="center"/>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一、宣传品管理</w:t>
            </w:r>
          </w:p>
        </w:tc>
        <w:tc>
          <w:tcPr>
            <w:tcW w:w="3332" w:type="dxa"/>
            <w:shd w:val="clear" w:color="auto" w:fill="auto"/>
            <w:noWrap/>
            <w:vAlign w:val="center"/>
          </w:tcPr>
          <w:p>
            <w:pPr>
              <w:widowControl/>
              <w:snapToGrid w:val="0"/>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（一）宣传标语</w:t>
            </w:r>
          </w:p>
        </w:tc>
        <w:tc>
          <w:tcPr>
            <w:tcW w:w="7319" w:type="dxa"/>
            <w:shd w:val="clear" w:color="auto" w:fill="auto"/>
            <w:noWrap/>
            <w:vAlign w:val="center"/>
          </w:tcPr>
          <w:p>
            <w:pPr>
              <w:widowControl/>
              <w:snapToGrid w:val="0"/>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《北京市标语宣传品设置管理规》</w:t>
            </w:r>
          </w:p>
        </w:tc>
        <w:tc>
          <w:tcPr>
            <w:tcW w:w="1032" w:type="dxa"/>
            <w:shd w:val="clear" w:color="auto" w:fill="auto"/>
            <w:noWrap/>
            <w:vAlign w:val="center"/>
          </w:tcPr>
          <w:p>
            <w:pPr>
              <w:snapToGrid w:val="0"/>
              <w:jc w:val="center"/>
              <w:rPr>
                <w:rFonts w:ascii="仿宋_GB2312" w:hAnsi="宋体" w:eastAsia="仿宋_GB2312" w:cs="宋体"/>
                <w:color w:val="000000" w:themeColor="text1"/>
                <w:sz w:val="24"/>
              </w:rPr>
            </w:pPr>
            <w:r>
              <w:rPr>
                <w:rFonts w:hint="eastAsia" w:ascii="仿宋_GB2312" w:hAnsi="宋体" w:eastAsia="仿宋_GB2312" w:cs="宋体"/>
                <w:color w:val="000000" w:themeColor="text1"/>
                <w:sz w:val="24"/>
              </w:rPr>
              <w:t>2</w:t>
            </w:r>
            <w:r>
              <w:rPr>
                <w:rFonts w:ascii="仿宋_GB2312" w:hAnsi="宋体" w:eastAsia="仿宋_GB2312" w:cs="宋体"/>
                <w:color w:val="000000" w:themeColor="text1"/>
                <w:sz w:val="24"/>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noWrap/>
            <w:vAlign w:val="center"/>
          </w:tcPr>
          <w:p>
            <w:pPr>
              <w:widowControl/>
              <w:snapToGrid w:val="0"/>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（二）未及时撤除标语宣传品的行为</w:t>
            </w:r>
          </w:p>
        </w:tc>
        <w:tc>
          <w:tcPr>
            <w:tcW w:w="7319" w:type="dxa"/>
            <w:shd w:val="clear" w:color="auto" w:fill="auto"/>
            <w:noWrap/>
            <w:vAlign w:val="center"/>
          </w:tcPr>
          <w:p>
            <w:pPr>
              <w:widowControl/>
              <w:snapToGrid w:val="0"/>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《北京市标语宣传品设置管理规定》</w:t>
            </w:r>
          </w:p>
        </w:tc>
        <w:tc>
          <w:tcPr>
            <w:tcW w:w="1032" w:type="dxa"/>
            <w:shd w:val="clear" w:color="auto" w:fill="auto"/>
            <w:noWrap/>
            <w:vAlign w:val="center"/>
          </w:tcPr>
          <w:p>
            <w:pPr>
              <w:snapToGrid w:val="0"/>
              <w:jc w:val="center"/>
              <w:rPr>
                <w:rFonts w:ascii="仿宋_GB2312" w:hAnsi="宋体" w:eastAsia="仿宋_GB2312" w:cs="宋体"/>
                <w:color w:val="000000" w:themeColor="text1"/>
                <w:sz w:val="24"/>
              </w:rPr>
            </w:pPr>
            <w:r>
              <w:rPr>
                <w:rFonts w:hint="eastAsia" w:ascii="仿宋_GB2312" w:hAnsi="宋体" w:eastAsia="仿宋_GB2312" w:cs="宋体"/>
                <w:color w:val="000000" w:themeColor="text1"/>
                <w:sz w:val="24"/>
              </w:rPr>
              <w:t>2</w:t>
            </w:r>
            <w:r>
              <w:rPr>
                <w:rFonts w:ascii="仿宋_GB2312" w:hAnsi="宋体" w:eastAsia="仿宋_GB2312" w:cs="宋体"/>
                <w:color w:val="000000" w:themeColor="text1"/>
                <w:sz w:val="24"/>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925" w:type="dxa"/>
            <w:vMerge w:val="restart"/>
            <w:shd w:val="clear" w:color="auto" w:fill="auto"/>
            <w:vAlign w:val="center"/>
          </w:tcPr>
          <w:p>
            <w:pPr>
              <w:widowControl/>
              <w:snapToGrid w:val="0"/>
              <w:jc w:val="center"/>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二、公示、告知</w:t>
            </w: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（一）告知安全及注意事项</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《北京市物业管理条例》</w:t>
            </w:r>
          </w:p>
        </w:tc>
        <w:tc>
          <w:tcPr>
            <w:tcW w:w="1032" w:type="dxa"/>
            <w:shd w:val="clear" w:color="auto" w:fill="auto"/>
            <w:noWrap/>
            <w:vAlign w:val="center"/>
          </w:tcPr>
          <w:p>
            <w:pPr>
              <w:snapToGrid w:val="0"/>
              <w:jc w:val="center"/>
              <w:rPr>
                <w:rFonts w:ascii="仿宋_GB2312" w:hAnsi="宋体" w:eastAsia="仿宋_GB2312" w:cs="宋体"/>
                <w:color w:val="000000" w:themeColor="text1"/>
                <w:sz w:val="24"/>
              </w:rPr>
            </w:pPr>
            <w:r>
              <w:rPr>
                <w:rFonts w:hint="eastAsia" w:ascii="仿宋_GB2312" w:hAnsi="宋体" w:eastAsia="仿宋_GB2312" w:cs="宋体"/>
                <w:color w:val="000000" w:themeColor="text1"/>
                <w:sz w:val="24"/>
              </w:rPr>
              <w:t>2</w:t>
            </w:r>
            <w:r>
              <w:rPr>
                <w:rFonts w:ascii="仿宋_GB2312" w:hAnsi="宋体" w:eastAsia="仿宋_GB2312" w:cs="宋体"/>
                <w:color w:val="000000" w:themeColor="text1"/>
                <w:sz w:val="24"/>
              </w:rP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（二）信息公示</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《北京市物业管理条例》</w:t>
            </w:r>
          </w:p>
        </w:tc>
        <w:tc>
          <w:tcPr>
            <w:tcW w:w="1032" w:type="dxa"/>
            <w:shd w:val="clear" w:color="auto" w:fill="auto"/>
            <w:noWrap/>
            <w:vAlign w:val="center"/>
          </w:tcPr>
          <w:p>
            <w:pPr>
              <w:snapToGrid w:val="0"/>
              <w:jc w:val="center"/>
              <w:rPr>
                <w:rFonts w:ascii="仿宋_GB2312" w:hAnsi="宋体" w:eastAsia="仿宋_GB2312" w:cs="宋体"/>
                <w:color w:val="000000" w:themeColor="text1"/>
                <w:sz w:val="24"/>
              </w:rPr>
            </w:pPr>
            <w:r>
              <w:rPr>
                <w:rFonts w:hint="eastAsia" w:ascii="仿宋_GB2312" w:hAnsi="宋体" w:eastAsia="仿宋_GB2312" w:cs="宋体"/>
                <w:color w:val="000000" w:themeColor="text1"/>
                <w:sz w:val="24"/>
              </w:rPr>
              <w:t>2</w:t>
            </w:r>
            <w:r>
              <w:rPr>
                <w:rFonts w:ascii="仿宋_GB2312" w:hAnsi="宋体" w:eastAsia="仿宋_GB2312" w:cs="宋体"/>
                <w:color w:val="000000" w:themeColor="text1"/>
                <w:sz w:val="24"/>
              </w:rP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1925" w:type="dxa"/>
            <w:shd w:val="clear" w:color="auto" w:fill="auto"/>
            <w:vAlign w:val="center"/>
          </w:tcPr>
          <w:p>
            <w:pPr>
              <w:widowControl/>
              <w:snapToGrid w:val="0"/>
              <w:jc w:val="center"/>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三、保密工作</w:t>
            </w: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业主信息</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《刑法》《中华人民共和国居民身份证法》</w:t>
            </w:r>
          </w:p>
        </w:tc>
        <w:tc>
          <w:tcPr>
            <w:tcW w:w="1032" w:type="dxa"/>
            <w:shd w:val="clear" w:color="auto" w:fill="auto"/>
            <w:noWrap/>
            <w:vAlign w:val="center"/>
          </w:tcPr>
          <w:p>
            <w:pPr>
              <w:snapToGrid w:val="0"/>
              <w:jc w:val="center"/>
              <w:rPr>
                <w:rFonts w:ascii="仿宋_GB2312" w:hAnsi="宋体" w:eastAsia="仿宋_GB2312" w:cs="宋体"/>
                <w:color w:val="000000" w:themeColor="text1"/>
                <w:sz w:val="22"/>
              </w:rPr>
            </w:pPr>
            <w:r>
              <w:rPr>
                <w:rFonts w:hint="eastAsia" w:ascii="仿宋_GB2312" w:hAnsi="宋体" w:eastAsia="仿宋_GB2312" w:cs="宋体"/>
                <w:color w:val="000000" w:themeColor="text1"/>
                <w:sz w:val="22"/>
              </w:rPr>
              <w:t>2</w:t>
            </w:r>
            <w:r>
              <w:rPr>
                <w:rFonts w:ascii="仿宋_GB2312" w:hAnsi="宋体" w:eastAsia="仿宋_GB2312" w:cs="宋体"/>
                <w:color w:val="000000" w:themeColor="text1"/>
                <w:sz w:val="22"/>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925" w:type="dxa"/>
            <w:vMerge w:val="restart"/>
            <w:shd w:val="clear" w:color="auto" w:fill="auto"/>
            <w:vAlign w:val="center"/>
          </w:tcPr>
          <w:p>
            <w:pPr>
              <w:widowControl/>
              <w:snapToGrid w:val="0"/>
              <w:jc w:val="center"/>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四、物业服务管理</w:t>
            </w: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（一）依约提供物业服务</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《北京市物业管理条例》</w:t>
            </w:r>
          </w:p>
        </w:tc>
        <w:tc>
          <w:tcPr>
            <w:tcW w:w="1032" w:type="dxa"/>
            <w:shd w:val="clear" w:color="auto" w:fill="auto"/>
            <w:noWrap/>
            <w:vAlign w:val="center"/>
          </w:tcPr>
          <w:p>
            <w:pPr>
              <w:snapToGrid w:val="0"/>
              <w:jc w:val="center"/>
              <w:rPr>
                <w:rFonts w:ascii="仿宋_GB2312" w:hAnsi="宋体" w:eastAsia="仿宋_GB2312" w:cs="宋体"/>
                <w:color w:val="000000" w:themeColor="text1"/>
                <w:sz w:val="22"/>
              </w:rPr>
            </w:pPr>
            <w:r>
              <w:rPr>
                <w:rFonts w:hint="eastAsia" w:ascii="仿宋_GB2312" w:hAnsi="宋体" w:eastAsia="仿宋_GB2312" w:cs="宋体"/>
                <w:color w:val="000000" w:themeColor="text1"/>
                <w:sz w:val="22"/>
              </w:rPr>
              <w:t>2</w:t>
            </w:r>
            <w:r>
              <w:rPr>
                <w:rFonts w:ascii="仿宋_GB2312" w:hAnsi="宋体" w:eastAsia="仿宋_GB2312" w:cs="宋体"/>
                <w:color w:val="000000" w:themeColor="text1"/>
                <w:sz w:val="22"/>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（二）档案管理、建立</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《北京市物业管理条例》</w:t>
            </w:r>
          </w:p>
        </w:tc>
        <w:tc>
          <w:tcPr>
            <w:tcW w:w="1032" w:type="dxa"/>
            <w:shd w:val="clear" w:color="auto" w:fill="auto"/>
            <w:noWrap/>
            <w:vAlign w:val="center"/>
          </w:tcPr>
          <w:p>
            <w:pPr>
              <w:snapToGrid w:val="0"/>
              <w:jc w:val="center"/>
              <w:rPr>
                <w:rFonts w:ascii="仿宋_GB2312" w:hAnsi="宋体" w:eastAsia="仿宋_GB2312" w:cs="宋体"/>
                <w:color w:val="000000" w:themeColor="text1"/>
                <w:sz w:val="22"/>
              </w:rPr>
            </w:pPr>
            <w:r>
              <w:rPr>
                <w:rFonts w:hint="eastAsia" w:ascii="仿宋_GB2312" w:hAnsi="宋体" w:eastAsia="仿宋_GB2312" w:cs="宋体"/>
                <w:color w:val="000000" w:themeColor="text1"/>
                <w:sz w:val="22"/>
              </w:rPr>
              <w:t>2</w:t>
            </w:r>
            <w:r>
              <w:rPr>
                <w:rFonts w:ascii="仿宋_GB2312" w:hAnsi="宋体" w:eastAsia="仿宋_GB2312" w:cs="宋体"/>
                <w:color w:val="000000" w:themeColor="text1"/>
                <w:sz w:val="22"/>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（三）物业交接管理</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《北京市物业管理条例》</w:t>
            </w:r>
          </w:p>
        </w:tc>
        <w:tc>
          <w:tcPr>
            <w:tcW w:w="1032" w:type="dxa"/>
            <w:shd w:val="clear" w:color="auto" w:fill="auto"/>
            <w:noWrap/>
            <w:vAlign w:val="center"/>
          </w:tcPr>
          <w:p>
            <w:pPr>
              <w:snapToGrid w:val="0"/>
              <w:jc w:val="center"/>
              <w:rPr>
                <w:rFonts w:ascii="仿宋_GB2312" w:hAnsi="宋体" w:eastAsia="仿宋_GB2312" w:cs="宋体"/>
                <w:color w:val="000000" w:themeColor="text1"/>
                <w:sz w:val="22"/>
              </w:rPr>
            </w:pPr>
            <w:r>
              <w:rPr>
                <w:rFonts w:hint="eastAsia" w:ascii="仿宋_GB2312" w:hAnsi="宋体" w:eastAsia="仿宋_GB2312" w:cs="宋体"/>
                <w:color w:val="000000" w:themeColor="text1"/>
                <w:sz w:val="22"/>
              </w:rPr>
              <w:t>2</w:t>
            </w:r>
            <w:r>
              <w:rPr>
                <w:rFonts w:ascii="仿宋_GB2312" w:hAnsi="宋体" w:eastAsia="仿宋_GB2312" w:cs="宋体"/>
                <w:color w:val="000000" w:themeColor="text1"/>
                <w:sz w:val="22"/>
              </w:rPr>
              <w:t>29</w:t>
            </w:r>
          </w:p>
        </w:tc>
      </w:tr>
    </w:tbl>
    <w:p/>
    <w:tbl>
      <w:tblPr>
        <w:tblStyle w:val="26"/>
        <w:tblW w:w="136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5"/>
        <w:gridCol w:w="3332"/>
        <w:gridCol w:w="7319"/>
        <w:gridCol w:w="10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925" w:type="dxa"/>
            <w:vMerge w:val="restart"/>
            <w:shd w:val="clear" w:color="auto" w:fill="auto"/>
            <w:vAlign w:val="center"/>
          </w:tcPr>
          <w:p>
            <w:pPr>
              <w:widowControl/>
              <w:snapToGrid w:val="0"/>
              <w:jc w:val="center"/>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四、物业服务管理</w:t>
            </w: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（四）公共收益</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《北京市物业管理条例》</w:t>
            </w:r>
          </w:p>
        </w:tc>
        <w:tc>
          <w:tcPr>
            <w:tcW w:w="1032" w:type="dxa"/>
            <w:shd w:val="clear" w:color="auto" w:fill="auto"/>
            <w:noWrap/>
            <w:vAlign w:val="center"/>
          </w:tcPr>
          <w:p>
            <w:pPr>
              <w:snapToGrid w:val="0"/>
              <w:jc w:val="center"/>
              <w:rPr>
                <w:rFonts w:ascii="仿宋_GB2312" w:hAnsi="宋体" w:eastAsia="仿宋_GB2312" w:cs="宋体"/>
                <w:color w:val="000000" w:themeColor="text1"/>
                <w:sz w:val="22"/>
              </w:rPr>
            </w:pPr>
            <w:r>
              <w:rPr>
                <w:rFonts w:hint="eastAsia" w:ascii="仿宋_GB2312" w:hAnsi="宋体" w:eastAsia="仿宋_GB2312" w:cs="宋体"/>
                <w:color w:val="000000" w:themeColor="text1"/>
                <w:sz w:val="22"/>
              </w:rPr>
              <w:t>2</w:t>
            </w:r>
            <w:r>
              <w:rPr>
                <w:rFonts w:ascii="仿宋_GB2312" w:hAnsi="宋体" w:eastAsia="仿宋_GB2312" w:cs="宋体"/>
                <w:color w:val="000000" w:themeColor="text1"/>
                <w:sz w:val="22"/>
              </w:rPr>
              <w:t>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（五）专项委托</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《物业管理条例》</w:t>
            </w:r>
          </w:p>
        </w:tc>
        <w:tc>
          <w:tcPr>
            <w:tcW w:w="1032" w:type="dxa"/>
            <w:shd w:val="clear" w:color="auto" w:fill="auto"/>
            <w:noWrap/>
            <w:vAlign w:val="center"/>
          </w:tcPr>
          <w:p>
            <w:pPr>
              <w:snapToGrid w:val="0"/>
              <w:jc w:val="center"/>
              <w:rPr>
                <w:rFonts w:ascii="仿宋_GB2312" w:hAnsi="宋体" w:eastAsia="仿宋_GB2312" w:cs="宋体"/>
                <w:color w:val="000000" w:themeColor="text1"/>
                <w:sz w:val="22"/>
              </w:rPr>
            </w:pPr>
            <w:r>
              <w:rPr>
                <w:rFonts w:hint="eastAsia" w:ascii="仿宋_GB2312" w:hAnsi="宋体" w:eastAsia="仿宋_GB2312" w:cs="宋体"/>
                <w:color w:val="000000" w:themeColor="text1"/>
                <w:sz w:val="22"/>
              </w:rPr>
              <w:t>2</w:t>
            </w:r>
            <w:r>
              <w:rPr>
                <w:rFonts w:ascii="仿宋_GB2312" w:hAnsi="宋体" w:eastAsia="仿宋_GB2312" w:cs="宋体"/>
                <w:color w:val="000000" w:themeColor="text1"/>
                <w:sz w:val="22"/>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（六）住宅专项维修资金的管理使用</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《住宅专项维修资金管理办法》</w:t>
            </w:r>
          </w:p>
        </w:tc>
        <w:tc>
          <w:tcPr>
            <w:tcW w:w="1032" w:type="dxa"/>
            <w:shd w:val="clear" w:color="auto" w:fill="auto"/>
            <w:noWrap/>
            <w:vAlign w:val="center"/>
          </w:tcPr>
          <w:p>
            <w:pPr>
              <w:snapToGrid w:val="0"/>
              <w:jc w:val="center"/>
              <w:rPr>
                <w:rFonts w:ascii="仿宋_GB2312" w:hAnsi="宋体" w:eastAsia="仿宋_GB2312" w:cs="宋体"/>
                <w:color w:val="000000" w:themeColor="text1"/>
                <w:sz w:val="22"/>
              </w:rPr>
            </w:pPr>
            <w:r>
              <w:rPr>
                <w:rFonts w:hint="eastAsia" w:ascii="仿宋_GB2312" w:hAnsi="宋体" w:eastAsia="仿宋_GB2312" w:cs="宋体"/>
                <w:color w:val="000000" w:themeColor="text1"/>
                <w:sz w:val="22"/>
              </w:rPr>
              <w:t>2</w:t>
            </w:r>
            <w:r>
              <w:rPr>
                <w:rFonts w:ascii="仿宋_GB2312" w:hAnsi="宋体" w:eastAsia="仿宋_GB2312" w:cs="宋体"/>
                <w:color w:val="000000" w:themeColor="text1"/>
                <w:sz w:val="22"/>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1925" w:type="dxa"/>
            <w:vMerge w:val="restart"/>
            <w:shd w:val="clear" w:color="auto" w:fill="auto"/>
            <w:vAlign w:val="center"/>
          </w:tcPr>
          <w:p>
            <w:pPr>
              <w:widowControl/>
              <w:snapToGrid w:val="0"/>
              <w:jc w:val="center"/>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五、监督管理</w:t>
            </w: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（一）制止、报告违法建设行为</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《北京市物业管理条例》</w:t>
            </w:r>
          </w:p>
        </w:tc>
        <w:tc>
          <w:tcPr>
            <w:tcW w:w="1032" w:type="dxa"/>
            <w:shd w:val="clear" w:color="auto" w:fill="auto"/>
            <w:noWrap/>
            <w:vAlign w:val="center"/>
          </w:tcPr>
          <w:p>
            <w:pPr>
              <w:snapToGrid w:val="0"/>
              <w:jc w:val="center"/>
              <w:rPr>
                <w:rFonts w:ascii="仿宋_GB2312" w:hAnsi="宋体" w:eastAsia="仿宋_GB2312" w:cs="宋体"/>
                <w:color w:val="000000" w:themeColor="text1"/>
                <w:sz w:val="22"/>
              </w:rPr>
            </w:pPr>
            <w:r>
              <w:rPr>
                <w:rFonts w:hint="eastAsia" w:ascii="仿宋_GB2312" w:hAnsi="宋体" w:eastAsia="仿宋_GB2312" w:cs="宋体"/>
                <w:color w:val="000000" w:themeColor="text1"/>
                <w:sz w:val="22"/>
              </w:rPr>
              <w:t>2</w:t>
            </w:r>
            <w:r>
              <w:rPr>
                <w:rFonts w:ascii="仿宋_GB2312" w:hAnsi="宋体" w:eastAsia="仿宋_GB2312" w:cs="宋体"/>
                <w:color w:val="000000" w:themeColor="text1"/>
                <w:sz w:val="22"/>
              </w:rPr>
              <w:t>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（二）安全隐患检查、排除、报告</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《北京市物业管理条例》</w:t>
            </w:r>
          </w:p>
        </w:tc>
        <w:tc>
          <w:tcPr>
            <w:tcW w:w="1032" w:type="dxa"/>
            <w:shd w:val="clear" w:color="auto" w:fill="auto"/>
            <w:noWrap/>
            <w:vAlign w:val="center"/>
          </w:tcPr>
          <w:p>
            <w:pPr>
              <w:snapToGrid w:val="0"/>
              <w:jc w:val="center"/>
              <w:rPr>
                <w:rFonts w:ascii="仿宋_GB2312" w:hAnsi="宋体" w:eastAsia="仿宋_GB2312" w:cs="宋体"/>
                <w:color w:val="000000" w:themeColor="text1"/>
                <w:sz w:val="22"/>
              </w:rPr>
            </w:pPr>
            <w:r>
              <w:rPr>
                <w:rFonts w:hint="eastAsia" w:ascii="仿宋_GB2312" w:hAnsi="宋体" w:eastAsia="仿宋_GB2312" w:cs="宋体"/>
                <w:color w:val="000000" w:themeColor="text1"/>
                <w:sz w:val="22"/>
              </w:rPr>
              <w:t>2</w:t>
            </w:r>
            <w:r>
              <w:rPr>
                <w:rFonts w:ascii="仿宋_GB2312" w:hAnsi="宋体" w:eastAsia="仿宋_GB2312" w:cs="宋体"/>
                <w:color w:val="000000" w:themeColor="text1"/>
                <w:sz w:val="22"/>
              </w:rPr>
              <w:t>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（三）制止、劝阻、报告违约行为</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《北京市物业管理条例》</w:t>
            </w:r>
          </w:p>
        </w:tc>
        <w:tc>
          <w:tcPr>
            <w:tcW w:w="1032" w:type="dxa"/>
            <w:shd w:val="clear" w:color="auto" w:fill="auto"/>
            <w:noWrap/>
            <w:vAlign w:val="center"/>
          </w:tcPr>
          <w:p>
            <w:pPr>
              <w:snapToGrid w:val="0"/>
              <w:jc w:val="center"/>
              <w:rPr>
                <w:rFonts w:ascii="仿宋_GB2312" w:hAnsi="宋体" w:eastAsia="仿宋_GB2312" w:cs="宋体"/>
                <w:color w:val="000000" w:themeColor="text1"/>
                <w:sz w:val="22"/>
              </w:rPr>
            </w:pPr>
            <w:r>
              <w:rPr>
                <w:rFonts w:hint="eastAsia" w:ascii="仿宋_GB2312" w:hAnsi="宋体" w:eastAsia="仿宋_GB2312" w:cs="宋体"/>
                <w:color w:val="000000" w:themeColor="text1"/>
                <w:sz w:val="22"/>
              </w:rPr>
              <w:t>2</w:t>
            </w:r>
            <w:r>
              <w:rPr>
                <w:rFonts w:ascii="仿宋_GB2312" w:hAnsi="宋体" w:eastAsia="仿宋_GB2312" w:cs="宋体"/>
                <w:color w:val="000000" w:themeColor="text1"/>
                <w:sz w:val="22"/>
              </w:rPr>
              <w:t>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1925" w:type="dxa"/>
            <w:shd w:val="clear" w:color="auto" w:fill="auto"/>
            <w:vAlign w:val="center"/>
          </w:tcPr>
          <w:p>
            <w:pPr>
              <w:widowControl/>
              <w:snapToGrid w:val="0"/>
              <w:jc w:val="center"/>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六、建筑物管理</w:t>
            </w: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合理管理使用建筑物</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《北京市物业管理条例》</w:t>
            </w:r>
          </w:p>
        </w:tc>
        <w:tc>
          <w:tcPr>
            <w:tcW w:w="1032" w:type="dxa"/>
            <w:shd w:val="clear" w:color="auto" w:fill="auto"/>
            <w:noWrap/>
            <w:vAlign w:val="center"/>
          </w:tcPr>
          <w:p>
            <w:pPr>
              <w:snapToGrid w:val="0"/>
              <w:jc w:val="center"/>
              <w:rPr>
                <w:rFonts w:ascii="仿宋_GB2312" w:hAnsi="宋体" w:eastAsia="仿宋_GB2312" w:cs="宋体"/>
                <w:color w:val="000000" w:themeColor="text1"/>
                <w:sz w:val="22"/>
              </w:rPr>
            </w:pPr>
            <w:r>
              <w:rPr>
                <w:rFonts w:hint="eastAsia" w:ascii="仿宋_GB2312" w:hAnsi="宋体" w:eastAsia="仿宋_GB2312" w:cs="宋体"/>
                <w:color w:val="000000" w:themeColor="text1"/>
                <w:sz w:val="22"/>
              </w:rPr>
              <w:t>2</w:t>
            </w:r>
            <w:r>
              <w:rPr>
                <w:rFonts w:ascii="仿宋_GB2312" w:hAnsi="宋体" w:eastAsia="仿宋_GB2312" w:cs="宋体"/>
                <w:color w:val="000000" w:themeColor="text1"/>
                <w:sz w:val="22"/>
              </w:rPr>
              <w:t>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atLeast"/>
          <w:jc w:val="center"/>
        </w:trPr>
        <w:tc>
          <w:tcPr>
            <w:tcW w:w="1925" w:type="dxa"/>
            <w:shd w:val="clear" w:color="auto" w:fill="auto"/>
            <w:vAlign w:val="center"/>
          </w:tcPr>
          <w:p>
            <w:pPr>
              <w:widowControl/>
              <w:snapToGrid w:val="0"/>
              <w:jc w:val="center"/>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七、管理用房</w:t>
            </w: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物业管理用房的使用</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《物业管理条例》</w:t>
            </w:r>
          </w:p>
        </w:tc>
        <w:tc>
          <w:tcPr>
            <w:tcW w:w="1032" w:type="dxa"/>
            <w:shd w:val="clear" w:color="auto" w:fill="auto"/>
            <w:noWrap/>
            <w:vAlign w:val="center"/>
          </w:tcPr>
          <w:p>
            <w:pPr>
              <w:snapToGrid w:val="0"/>
              <w:jc w:val="center"/>
              <w:rPr>
                <w:rFonts w:ascii="仿宋_GB2312" w:hAnsi="宋体" w:eastAsia="仿宋_GB2312" w:cs="宋体"/>
                <w:color w:val="000000" w:themeColor="text1"/>
                <w:sz w:val="22"/>
              </w:rPr>
            </w:pPr>
            <w:r>
              <w:rPr>
                <w:rFonts w:hint="eastAsia" w:ascii="仿宋_GB2312" w:hAnsi="宋体" w:eastAsia="仿宋_GB2312" w:cs="宋体"/>
                <w:color w:val="000000" w:themeColor="text1"/>
                <w:sz w:val="22"/>
              </w:rPr>
              <w:t>2</w:t>
            </w:r>
            <w:r>
              <w:rPr>
                <w:rFonts w:ascii="仿宋_GB2312" w:hAnsi="宋体" w:eastAsia="仿宋_GB2312" w:cs="宋体"/>
                <w:color w:val="000000" w:themeColor="text1"/>
                <w:sz w:val="22"/>
              </w:rPr>
              <w:t>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jc w:val="center"/>
        </w:trPr>
        <w:tc>
          <w:tcPr>
            <w:tcW w:w="1925" w:type="dxa"/>
            <w:shd w:val="clear" w:color="auto" w:fill="auto"/>
            <w:vAlign w:val="center"/>
          </w:tcPr>
          <w:p>
            <w:pPr>
              <w:widowControl/>
              <w:snapToGrid w:val="0"/>
              <w:jc w:val="center"/>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八、室内装修</w:t>
            </w: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（一）发现并及时报告违规装修行为</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《住宅室内装饰装修管理办法》</w:t>
            </w:r>
          </w:p>
        </w:tc>
        <w:tc>
          <w:tcPr>
            <w:tcW w:w="1032" w:type="dxa"/>
            <w:shd w:val="clear" w:color="auto" w:fill="auto"/>
            <w:noWrap/>
            <w:vAlign w:val="center"/>
          </w:tcPr>
          <w:p>
            <w:pPr>
              <w:snapToGrid w:val="0"/>
              <w:jc w:val="center"/>
              <w:rPr>
                <w:rFonts w:ascii="仿宋_GB2312" w:hAnsi="宋体" w:eastAsia="仿宋_GB2312" w:cs="宋体"/>
                <w:color w:val="000000" w:themeColor="text1"/>
                <w:sz w:val="22"/>
              </w:rPr>
            </w:pPr>
            <w:r>
              <w:rPr>
                <w:rFonts w:hint="eastAsia" w:ascii="仿宋_GB2312" w:hAnsi="宋体" w:eastAsia="仿宋_GB2312" w:cs="宋体"/>
                <w:color w:val="000000" w:themeColor="text1"/>
                <w:sz w:val="22"/>
              </w:rPr>
              <w:t>2</w:t>
            </w:r>
            <w:r>
              <w:rPr>
                <w:rFonts w:ascii="仿宋_GB2312" w:hAnsi="宋体" w:eastAsia="仿宋_GB2312" w:cs="宋体"/>
                <w:color w:val="000000" w:themeColor="text1"/>
                <w:sz w:val="22"/>
              </w:rPr>
              <w:t>33</w:t>
            </w:r>
          </w:p>
        </w:tc>
      </w:tr>
    </w:tbl>
    <w:p/>
    <w:tbl>
      <w:tblPr>
        <w:tblStyle w:val="26"/>
        <w:tblW w:w="136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5"/>
        <w:gridCol w:w="3332"/>
        <w:gridCol w:w="7319"/>
        <w:gridCol w:w="10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25" w:type="dxa"/>
            <w:shd w:val="clear" w:color="auto" w:fill="auto"/>
            <w:vAlign w:val="center"/>
          </w:tcPr>
          <w:p>
            <w:pPr>
              <w:widowControl/>
              <w:snapToGrid w:val="0"/>
              <w:jc w:val="center"/>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八、室内装修</w:t>
            </w:r>
          </w:p>
        </w:tc>
        <w:tc>
          <w:tcPr>
            <w:tcW w:w="3332" w:type="dxa"/>
            <w:shd w:val="clear" w:color="auto" w:fill="auto"/>
            <w:vAlign w:val="center"/>
          </w:tcPr>
          <w:p>
            <w:pPr>
              <w:widowControl/>
              <w:snapToGrid w:val="0"/>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（二）住宅室内装饰装修活动申报登记</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《住宅室内装饰装修管理办法》</w:t>
            </w:r>
          </w:p>
        </w:tc>
        <w:tc>
          <w:tcPr>
            <w:tcW w:w="1032" w:type="dxa"/>
            <w:shd w:val="clear" w:color="auto" w:fill="auto"/>
            <w:noWrap/>
            <w:vAlign w:val="center"/>
          </w:tcPr>
          <w:p>
            <w:pPr>
              <w:snapToGrid w:val="0"/>
              <w:jc w:val="center"/>
              <w:rPr>
                <w:rFonts w:ascii="仿宋_GB2312" w:hAnsi="宋体" w:eastAsia="仿宋_GB2312" w:cs="宋体"/>
                <w:color w:val="000000" w:themeColor="text1"/>
                <w:sz w:val="22"/>
              </w:rPr>
            </w:pPr>
            <w:r>
              <w:rPr>
                <w:rFonts w:hint="eastAsia" w:ascii="仿宋_GB2312" w:hAnsi="宋体" w:eastAsia="仿宋_GB2312" w:cs="宋体"/>
                <w:color w:val="000000" w:themeColor="text1"/>
                <w:sz w:val="22"/>
              </w:rPr>
              <w:t>2</w:t>
            </w:r>
            <w:r>
              <w:rPr>
                <w:rFonts w:ascii="仿宋_GB2312" w:hAnsi="宋体" w:eastAsia="仿宋_GB2312" w:cs="宋体"/>
                <w:color w:val="000000" w:themeColor="text1"/>
                <w:sz w:val="22"/>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3608" w:type="dxa"/>
            <w:gridSpan w:val="4"/>
            <w:shd w:val="clear" w:color="auto" w:fill="auto"/>
            <w:noWrap/>
            <w:vAlign w:val="center"/>
          </w:tcPr>
          <w:p>
            <w:pPr>
              <w:widowControl/>
              <w:snapToGrid w:val="0"/>
              <w:jc w:val="center"/>
              <w:textAlignment w:val="center"/>
              <w:rPr>
                <w:rFonts w:ascii="仿宋_GB2312" w:hAnsi="仿宋" w:eastAsia="仿宋_GB2312" w:cs="仿宋"/>
                <w:b/>
                <w:bCs/>
                <w:color w:val="000000" w:themeColor="text1"/>
                <w:sz w:val="24"/>
              </w:rPr>
            </w:pPr>
            <w:r>
              <w:rPr>
                <w:rFonts w:hint="eastAsia" w:ascii="仿宋_GB2312" w:hAnsi="仿宋" w:eastAsia="仿宋_GB2312" w:cs="仿宋"/>
                <w:b/>
                <w:bCs/>
                <w:color w:val="000000" w:themeColor="text1"/>
                <w:kern w:val="0"/>
                <w:sz w:val="40"/>
                <w:szCs w:val="40"/>
              </w:rPr>
              <w:t>安全监管方面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925" w:type="dxa"/>
            <w:shd w:val="clear" w:color="auto" w:fill="auto"/>
            <w:vAlign w:val="center"/>
          </w:tcPr>
          <w:p>
            <w:pPr>
              <w:widowControl/>
              <w:snapToGrid w:val="0"/>
              <w:jc w:val="center"/>
              <w:textAlignment w:val="center"/>
              <w:rPr>
                <w:rFonts w:ascii="仿宋_GB2312" w:hAnsi="仿宋" w:eastAsia="仿宋_GB2312" w:cs="仿宋"/>
                <w:b/>
                <w:bCs/>
                <w:color w:val="000000" w:themeColor="text1"/>
                <w:sz w:val="24"/>
              </w:rPr>
            </w:pPr>
            <w:r>
              <w:rPr>
                <w:rFonts w:hint="eastAsia" w:ascii="仿宋_GB2312" w:hAnsi="仿宋" w:eastAsia="仿宋_GB2312" w:cs="仿宋"/>
                <w:b/>
                <w:bCs/>
                <w:color w:val="000000" w:themeColor="text1"/>
                <w:kern w:val="0"/>
                <w:sz w:val="24"/>
              </w:rPr>
              <w:t>监管内容</w:t>
            </w:r>
          </w:p>
        </w:tc>
        <w:tc>
          <w:tcPr>
            <w:tcW w:w="3332" w:type="dxa"/>
            <w:shd w:val="clear" w:color="auto" w:fill="auto"/>
            <w:vAlign w:val="center"/>
          </w:tcPr>
          <w:p>
            <w:pPr>
              <w:widowControl/>
              <w:snapToGrid w:val="0"/>
              <w:jc w:val="center"/>
              <w:textAlignment w:val="center"/>
              <w:rPr>
                <w:rFonts w:ascii="仿宋_GB2312" w:hAnsi="仿宋" w:eastAsia="仿宋_GB2312" w:cs="仿宋"/>
                <w:b/>
                <w:bCs/>
                <w:color w:val="000000" w:themeColor="text1"/>
                <w:sz w:val="24"/>
              </w:rPr>
            </w:pPr>
            <w:r>
              <w:rPr>
                <w:rFonts w:hint="eastAsia" w:ascii="仿宋_GB2312" w:hAnsi="仿宋" w:eastAsia="仿宋_GB2312" w:cs="仿宋"/>
                <w:b/>
                <w:bCs/>
                <w:color w:val="000000" w:themeColor="text1"/>
                <w:kern w:val="0"/>
                <w:sz w:val="24"/>
              </w:rPr>
              <w:t>监管事项</w:t>
            </w:r>
          </w:p>
        </w:tc>
        <w:tc>
          <w:tcPr>
            <w:tcW w:w="7319" w:type="dxa"/>
            <w:shd w:val="clear" w:color="auto" w:fill="auto"/>
            <w:vAlign w:val="center"/>
          </w:tcPr>
          <w:p>
            <w:pPr>
              <w:widowControl/>
              <w:snapToGrid w:val="0"/>
              <w:jc w:val="center"/>
              <w:textAlignment w:val="center"/>
              <w:rPr>
                <w:rFonts w:ascii="仿宋_GB2312" w:hAnsi="仿宋" w:eastAsia="仿宋_GB2312" w:cs="仿宋"/>
                <w:b/>
                <w:bCs/>
                <w:color w:val="000000" w:themeColor="text1"/>
                <w:sz w:val="24"/>
              </w:rPr>
            </w:pPr>
            <w:r>
              <w:rPr>
                <w:rFonts w:hint="eastAsia" w:ascii="仿宋_GB2312" w:hAnsi="仿宋" w:eastAsia="仿宋_GB2312" w:cs="仿宋"/>
                <w:b/>
                <w:bCs/>
                <w:color w:val="000000" w:themeColor="text1"/>
                <w:kern w:val="0"/>
                <w:sz w:val="24"/>
              </w:rPr>
              <w:t>监管依据</w:t>
            </w:r>
          </w:p>
        </w:tc>
        <w:tc>
          <w:tcPr>
            <w:tcW w:w="1032" w:type="dxa"/>
            <w:shd w:val="clear" w:color="auto" w:fill="auto"/>
            <w:vAlign w:val="center"/>
          </w:tcPr>
          <w:p>
            <w:pPr>
              <w:widowControl/>
              <w:snapToGrid w:val="0"/>
              <w:jc w:val="center"/>
              <w:textAlignment w:val="center"/>
              <w:rPr>
                <w:rFonts w:ascii="仿宋_GB2312" w:hAnsi="仿宋" w:eastAsia="仿宋_GB2312" w:cs="仿宋"/>
                <w:b/>
                <w:bCs/>
                <w:color w:val="000000" w:themeColor="text1"/>
                <w:sz w:val="24"/>
              </w:rPr>
            </w:pPr>
            <w:r>
              <w:rPr>
                <w:rFonts w:hint="eastAsia" w:ascii="仿宋_GB2312" w:hAnsi="仿宋" w:eastAsia="仿宋_GB2312" w:cs="仿宋"/>
                <w:b/>
                <w:bCs/>
                <w:color w:val="000000" w:themeColor="text1"/>
                <w:kern w:val="0"/>
                <w:sz w:val="24"/>
              </w:rPr>
              <w:t>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jc w:val="center"/>
        </w:trPr>
        <w:tc>
          <w:tcPr>
            <w:tcW w:w="1925" w:type="dxa"/>
            <w:vMerge w:val="restart"/>
            <w:shd w:val="clear" w:color="auto" w:fill="auto"/>
            <w:vAlign w:val="center"/>
          </w:tcPr>
          <w:p>
            <w:pPr>
              <w:widowControl/>
              <w:snapToGrid w:val="0"/>
              <w:jc w:val="center"/>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一、安全管理</w:t>
            </w:r>
          </w:p>
        </w:tc>
        <w:tc>
          <w:tcPr>
            <w:tcW w:w="3332" w:type="dxa"/>
            <w:shd w:val="clear" w:color="auto" w:fill="auto"/>
            <w:vAlign w:val="center"/>
          </w:tcPr>
          <w:p>
            <w:pPr>
              <w:widowControl/>
              <w:snapToGrid w:val="0"/>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（一）建立房屋建筑使用安全管理档案</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《北京市房屋建筑使用安全管理办法》</w:t>
            </w:r>
          </w:p>
        </w:tc>
        <w:tc>
          <w:tcPr>
            <w:tcW w:w="1032" w:type="dxa"/>
            <w:shd w:val="clear" w:color="auto" w:fill="auto"/>
            <w:vAlign w:val="center"/>
          </w:tcPr>
          <w:p>
            <w:pPr>
              <w:snapToGrid w:val="0"/>
              <w:jc w:val="center"/>
              <w:rPr>
                <w:rFonts w:ascii="仿宋_GB2312" w:hAnsi="宋体" w:eastAsia="仿宋_GB2312" w:cs="宋体"/>
                <w:color w:val="000000" w:themeColor="text1"/>
                <w:sz w:val="22"/>
              </w:rPr>
            </w:pPr>
            <w:r>
              <w:rPr>
                <w:rFonts w:hint="eastAsia" w:ascii="仿宋_GB2312" w:hAnsi="宋体" w:eastAsia="仿宋_GB2312" w:cs="宋体"/>
                <w:color w:val="000000" w:themeColor="text1"/>
                <w:sz w:val="22"/>
              </w:rPr>
              <w:t>2</w:t>
            </w:r>
            <w:r>
              <w:rPr>
                <w:rFonts w:ascii="仿宋_GB2312" w:hAnsi="宋体" w:eastAsia="仿宋_GB2312" w:cs="宋体"/>
                <w:color w:val="000000" w:themeColor="text1"/>
                <w:sz w:val="22"/>
              </w:rP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（二）配备安全管理员</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《北京市房屋建筑使用安全管理办法》</w:t>
            </w:r>
          </w:p>
        </w:tc>
        <w:tc>
          <w:tcPr>
            <w:tcW w:w="1032" w:type="dxa"/>
            <w:shd w:val="clear" w:color="auto" w:fill="auto"/>
            <w:vAlign w:val="center"/>
          </w:tcPr>
          <w:p>
            <w:pPr>
              <w:snapToGrid w:val="0"/>
              <w:jc w:val="center"/>
              <w:rPr>
                <w:rFonts w:ascii="仿宋_GB2312" w:hAnsi="宋体" w:eastAsia="仿宋_GB2312" w:cs="宋体"/>
                <w:color w:val="000000" w:themeColor="text1"/>
                <w:sz w:val="22"/>
              </w:rPr>
            </w:pPr>
            <w:r>
              <w:rPr>
                <w:rFonts w:hint="eastAsia" w:ascii="仿宋_GB2312" w:hAnsi="宋体" w:eastAsia="仿宋_GB2312" w:cs="宋体"/>
                <w:color w:val="000000" w:themeColor="text1"/>
                <w:sz w:val="22"/>
              </w:rPr>
              <w:t>2</w:t>
            </w:r>
            <w:r>
              <w:rPr>
                <w:rFonts w:ascii="仿宋_GB2312" w:hAnsi="宋体" w:eastAsia="仿宋_GB2312" w:cs="宋体"/>
                <w:color w:val="000000" w:themeColor="text1"/>
                <w:sz w:val="22"/>
              </w:rP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1"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（三）违反国家规定，制造、储存、使用、处置爆炸性、毒害性、放射性、腐蚀性物质或者传染病病原体等危险物质</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《北京市物业管理条例》　</w:t>
            </w:r>
          </w:p>
        </w:tc>
        <w:tc>
          <w:tcPr>
            <w:tcW w:w="1032" w:type="dxa"/>
            <w:shd w:val="clear" w:color="auto" w:fill="auto"/>
            <w:vAlign w:val="center"/>
          </w:tcPr>
          <w:p>
            <w:pPr>
              <w:snapToGrid w:val="0"/>
              <w:jc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2</w:t>
            </w:r>
            <w:r>
              <w:rPr>
                <w:rFonts w:ascii="仿宋_GB2312" w:hAnsi="仿宋" w:eastAsia="仿宋_GB2312" w:cs="仿宋"/>
                <w:color w:val="000000" w:themeColor="text1"/>
                <w:sz w:val="24"/>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（四）高空抛物</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《北京市物业管理条例》　</w:t>
            </w:r>
          </w:p>
        </w:tc>
        <w:tc>
          <w:tcPr>
            <w:tcW w:w="1032" w:type="dxa"/>
            <w:shd w:val="clear" w:color="auto" w:fill="auto"/>
            <w:vAlign w:val="center"/>
          </w:tcPr>
          <w:p>
            <w:pPr>
              <w:snapToGrid w:val="0"/>
              <w:jc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2</w:t>
            </w:r>
            <w:r>
              <w:rPr>
                <w:rFonts w:ascii="仿宋_GB2312" w:hAnsi="仿宋" w:eastAsia="仿宋_GB2312" w:cs="仿宋"/>
                <w:color w:val="000000" w:themeColor="text1"/>
                <w:sz w:val="24"/>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（五）擅自改变物业规划用途</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《北京市物业管理条例》　</w:t>
            </w:r>
          </w:p>
        </w:tc>
        <w:tc>
          <w:tcPr>
            <w:tcW w:w="1032" w:type="dxa"/>
            <w:shd w:val="clear" w:color="auto" w:fill="auto"/>
            <w:vAlign w:val="center"/>
          </w:tcPr>
          <w:p>
            <w:pPr>
              <w:snapToGrid w:val="0"/>
              <w:jc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2</w:t>
            </w:r>
            <w:r>
              <w:rPr>
                <w:rFonts w:ascii="仿宋_GB2312" w:hAnsi="仿宋" w:eastAsia="仿宋_GB2312" w:cs="仿宋"/>
                <w:color w:val="000000" w:themeColor="text1"/>
                <w:sz w:val="24"/>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0" w:hRule="atLeast"/>
          <w:jc w:val="center"/>
        </w:trPr>
        <w:tc>
          <w:tcPr>
            <w:tcW w:w="1925" w:type="dxa"/>
            <w:shd w:val="clear" w:color="auto" w:fill="auto"/>
            <w:vAlign w:val="center"/>
          </w:tcPr>
          <w:p>
            <w:pPr>
              <w:widowControl/>
              <w:snapToGrid w:val="0"/>
              <w:jc w:val="center"/>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二、巡查养护</w:t>
            </w: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安全风险的设施、区域的日常巡查和定期养护</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《北京市物业管理条例》</w:t>
            </w:r>
          </w:p>
        </w:tc>
        <w:tc>
          <w:tcPr>
            <w:tcW w:w="1032" w:type="dxa"/>
            <w:shd w:val="clear" w:color="auto" w:fill="auto"/>
            <w:vAlign w:val="center"/>
          </w:tcPr>
          <w:p>
            <w:pPr>
              <w:snapToGrid w:val="0"/>
              <w:jc w:val="center"/>
              <w:rPr>
                <w:rFonts w:ascii="仿宋_GB2312" w:hAnsi="仿宋" w:eastAsia="仿宋_GB2312" w:cs="仿宋"/>
                <w:b/>
                <w:bCs/>
                <w:color w:val="000000" w:themeColor="text1"/>
                <w:sz w:val="24"/>
              </w:rPr>
            </w:pPr>
            <w:r>
              <w:rPr>
                <w:rFonts w:hint="eastAsia" w:ascii="仿宋_GB2312" w:hAnsi="仿宋" w:eastAsia="仿宋_GB2312" w:cs="仿宋"/>
                <w:color w:val="000000" w:themeColor="text1"/>
                <w:sz w:val="24"/>
              </w:rPr>
              <w:t>2</w:t>
            </w:r>
            <w:r>
              <w:rPr>
                <w:rFonts w:ascii="仿宋_GB2312" w:hAnsi="仿宋" w:eastAsia="仿宋_GB2312" w:cs="仿宋"/>
                <w:color w:val="000000" w:themeColor="text1"/>
                <w:sz w:val="24"/>
              </w:rPr>
              <w:t>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925" w:type="dxa"/>
            <w:vMerge w:val="restart"/>
            <w:shd w:val="clear" w:color="auto" w:fill="auto"/>
            <w:vAlign w:val="center"/>
          </w:tcPr>
          <w:p>
            <w:pPr>
              <w:widowControl/>
              <w:snapToGrid w:val="0"/>
              <w:jc w:val="center"/>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三、保安管理</w:t>
            </w: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（一）项目交接</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《北京市物业管理条例》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2</w:t>
            </w:r>
            <w:r>
              <w:rPr>
                <w:rFonts w:ascii="仿宋_GB2312" w:hAnsi="仿宋" w:eastAsia="仿宋_GB2312" w:cs="仿宋"/>
                <w:color w:val="000000" w:themeColor="text1"/>
                <w:sz w:val="24"/>
              </w:rPr>
              <w:t>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（二）保安资质及管理</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《保安服务管理条例》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2</w:t>
            </w:r>
            <w:r>
              <w:rPr>
                <w:rFonts w:ascii="仿宋_GB2312" w:hAnsi="仿宋" w:eastAsia="仿宋_GB2312" w:cs="仿宋"/>
                <w:color w:val="000000" w:themeColor="text1"/>
                <w:sz w:val="24"/>
              </w:rPr>
              <w:t>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（三）保安招聘及备案</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《保安服务管理条例》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2</w:t>
            </w:r>
            <w:r>
              <w:rPr>
                <w:rFonts w:ascii="仿宋_GB2312" w:hAnsi="仿宋" w:eastAsia="仿宋_GB2312" w:cs="仿宋"/>
                <w:color w:val="000000" w:themeColor="text1"/>
                <w:sz w:val="24"/>
              </w:rPr>
              <w:t>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（四）保安跨区域服务</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《保安服务管理条例》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2</w:t>
            </w:r>
            <w:r>
              <w:rPr>
                <w:rFonts w:ascii="仿宋_GB2312" w:hAnsi="仿宋" w:eastAsia="仿宋_GB2312" w:cs="仿宋"/>
                <w:color w:val="000000" w:themeColor="text1"/>
                <w:sz w:val="24"/>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925" w:type="dxa"/>
            <w:vMerge w:val="restart"/>
            <w:shd w:val="clear" w:color="auto" w:fill="auto"/>
            <w:vAlign w:val="center"/>
          </w:tcPr>
          <w:p>
            <w:pPr>
              <w:widowControl/>
              <w:snapToGrid w:val="0"/>
              <w:jc w:val="center"/>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四、人防管理</w:t>
            </w: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（一）侵占防空设施</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《中华人民共和国人民防空法》</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2</w:t>
            </w:r>
            <w:r>
              <w:rPr>
                <w:rFonts w:ascii="仿宋_GB2312" w:hAnsi="仿宋" w:eastAsia="仿宋_GB2312" w:cs="仿宋"/>
                <w:color w:val="000000" w:themeColor="text1"/>
                <w:sz w:val="24"/>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（二）防空主体结构、设备设施、危害使用</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《北京市人民防空条例》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2</w:t>
            </w:r>
            <w:r>
              <w:rPr>
                <w:rFonts w:ascii="仿宋_GB2312" w:hAnsi="仿宋" w:eastAsia="仿宋_GB2312" w:cs="仿宋"/>
                <w:color w:val="000000" w:themeColor="text1"/>
                <w:sz w:val="24"/>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（三）影响防空防护能力</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《北京市人民防空条例》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2</w:t>
            </w:r>
            <w:r>
              <w:rPr>
                <w:rFonts w:ascii="仿宋_GB2312" w:hAnsi="仿宋" w:eastAsia="仿宋_GB2312" w:cs="仿宋"/>
                <w:color w:val="000000" w:themeColor="text1"/>
                <w:sz w:val="24"/>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（四）改造人防工程</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《北京市人民防空条例》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2</w:t>
            </w:r>
            <w:r>
              <w:rPr>
                <w:rFonts w:ascii="仿宋_GB2312" w:hAnsi="仿宋" w:eastAsia="仿宋_GB2312" w:cs="仿宋"/>
                <w:color w:val="000000" w:themeColor="text1"/>
                <w:sz w:val="24"/>
              </w:rPr>
              <w:t>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（五）按规定使用人防</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《北京市人民防空条例》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2</w:t>
            </w:r>
            <w:r>
              <w:rPr>
                <w:rFonts w:ascii="仿宋_GB2312" w:hAnsi="仿宋" w:eastAsia="仿宋_GB2312" w:cs="仿宋"/>
                <w:color w:val="000000" w:themeColor="text1"/>
                <w:sz w:val="24"/>
              </w:rPr>
              <w:t>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925" w:type="dxa"/>
            <w:shd w:val="clear" w:color="auto" w:fill="auto"/>
            <w:vAlign w:val="center"/>
          </w:tcPr>
          <w:p>
            <w:pPr>
              <w:widowControl/>
              <w:snapToGrid w:val="0"/>
              <w:jc w:val="center"/>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五、地下空间管理</w:t>
            </w:r>
          </w:p>
        </w:tc>
        <w:tc>
          <w:tcPr>
            <w:tcW w:w="3332"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（一）地下空间安全使用</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《北京市人民防空条例》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2</w:t>
            </w:r>
            <w:r>
              <w:rPr>
                <w:rFonts w:ascii="仿宋_GB2312" w:hAnsi="仿宋" w:eastAsia="仿宋_GB2312" w:cs="仿宋"/>
                <w:color w:val="000000" w:themeColor="text1"/>
                <w:sz w:val="24"/>
              </w:rPr>
              <w:t>42</w:t>
            </w:r>
          </w:p>
        </w:tc>
      </w:tr>
    </w:tbl>
    <w:p/>
    <w:tbl>
      <w:tblPr>
        <w:tblStyle w:val="26"/>
        <w:tblW w:w="136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5"/>
        <w:gridCol w:w="204"/>
        <w:gridCol w:w="3128"/>
        <w:gridCol w:w="7319"/>
        <w:gridCol w:w="10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9" w:hRule="atLeast"/>
          <w:jc w:val="center"/>
        </w:trPr>
        <w:tc>
          <w:tcPr>
            <w:tcW w:w="1925" w:type="dxa"/>
            <w:vMerge w:val="restart"/>
            <w:shd w:val="clear" w:color="auto" w:fill="auto"/>
            <w:vAlign w:val="center"/>
          </w:tcPr>
          <w:p>
            <w:pPr>
              <w:widowControl/>
              <w:snapToGrid w:val="0"/>
              <w:jc w:val="center"/>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五、地下空间管理</w:t>
            </w:r>
          </w:p>
        </w:tc>
        <w:tc>
          <w:tcPr>
            <w:tcW w:w="3332" w:type="dxa"/>
            <w:gridSpan w:val="2"/>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（二）普通地下室容纳人员数量管理</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《北京市人民防空工程和普通地下室安全使用管理办法》</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2</w:t>
            </w:r>
            <w:r>
              <w:rPr>
                <w:rFonts w:ascii="仿宋_GB2312" w:hAnsi="仿宋" w:eastAsia="仿宋_GB2312" w:cs="仿宋"/>
                <w:color w:val="000000" w:themeColor="text1"/>
                <w:sz w:val="24"/>
              </w:rPr>
              <w:t>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1"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gridSpan w:val="2"/>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（三）出租、使用普通地下室登记备案</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《北京市人民防空工程和普通地下室安全使用管理办法》</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2</w:t>
            </w:r>
            <w:r>
              <w:rPr>
                <w:rFonts w:ascii="仿宋_GB2312" w:hAnsi="仿宋" w:eastAsia="仿宋_GB2312" w:cs="仿宋"/>
                <w:color w:val="000000" w:themeColor="text1"/>
                <w:sz w:val="24"/>
              </w:rPr>
              <w:t>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atLeast"/>
          <w:jc w:val="center"/>
        </w:trPr>
        <w:tc>
          <w:tcPr>
            <w:tcW w:w="1925"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332" w:type="dxa"/>
            <w:gridSpan w:val="2"/>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（四）地下空间制度建立、使用措施、标志牌</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《北京市人民防空工程和普通地下室安全使用管理办法》《北京市人民防空条例》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2</w:t>
            </w:r>
            <w:r>
              <w:rPr>
                <w:rFonts w:ascii="仿宋_GB2312" w:hAnsi="仿宋" w:eastAsia="仿宋_GB2312" w:cs="仿宋"/>
                <w:color w:val="000000" w:themeColor="text1"/>
                <w:sz w:val="24"/>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3608" w:type="dxa"/>
            <w:gridSpan w:val="5"/>
            <w:shd w:val="clear" w:color="auto" w:fill="auto"/>
            <w:noWrap/>
            <w:vAlign w:val="center"/>
          </w:tcPr>
          <w:p>
            <w:pPr>
              <w:widowControl/>
              <w:snapToGrid w:val="0"/>
              <w:jc w:val="center"/>
              <w:textAlignment w:val="center"/>
              <w:rPr>
                <w:rFonts w:ascii="仿宋_GB2312" w:hAnsi="仿宋" w:eastAsia="仿宋_GB2312" w:cs="仿宋"/>
                <w:b/>
                <w:bCs/>
                <w:color w:val="000000" w:themeColor="text1"/>
                <w:sz w:val="40"/>
                <w:szCs w:val="40"/>
              </w:rPr>
            </w:pPr>
            <w:r>
              <w:rPr>
                <w:rFonts w:hint="eastAsia" w:ascii="仿宋_GB2312" w:hAnsi="仿宋" w:eastAsia="仿宋_GB2312" w:cs="仿宋"/>
                <w:b/>
                <w:bCs/>
                <w:color w:val="000000" w:themeColor="text1"/>
                <w:kern w:val="0"/>
                <w:sz w:val="40"/>
                <w:szCs w:val="40"/>
              </w:rPr>
              <w:t>消防救援方面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2129" w:type="dxa"/>
            <w:gridSpan w:val="2"/>
            <w:shd w:val="clear" w:color="auto" w:fill="auto"/>
            <w:vAlign w:val="center"/>
          </w:tcPr>
          <w:p>
            <w:pPr>
              <w:widowControl/>
              <w:snapToGrid w:val="0"/>
              <w:jc w:val="center"/>
              <w:textAlignment w:val="center"/>
              <w:rPr>
                <w:rFonts w:ascii="仿宋_GB2312" w:hAnsi="仿宋" w:eastAsia="仿宋_GB2312" w:cs="仿宋"/>
                <w:b/>
                <w:bCs/>
                <w:color w:val="000000" w:themeColor="text1"/>
                <w:sz w:val="24"/>
              </w:rPr>
            </w:pPr>
            <w:r>
              <w:rPr>
                <w:rFonts w:hint="eastAsia" w:ascii="仿宋_GB2312" w:hAnsi="仿宋" w:eastAsia="仿宋_GB2312" w:cs="仿宋"/>
                <w:b/>
                <w:bCs/>
                <w:color w:val="000000" w:themeColor="text1"/>
                <w:kern w:val="0"/>
                <w:sz w:val="24"/>
              </w:rPr>
              <w:t>监管内容</w:t>
            </w:r>
          </w:p>
        </w:tc>
        <w:tc>
          <w:tcPr>
            <w:tcW w:w="3128" w:type="dxa"/>
            <w:shd w:val="clear" w:color="auto" w:fill="auto"/>
            <w:vAlign w:val="center"/>
          </w:tcPr>
          <w:p>
            <w:pPr>
              <w:widowControl/>
              <w:snapToGrid w:val="0"/>
              <w:jc w:val="center"/>
              <w:textAlignment w:val="center"/>
              <w:rPr>
                <w:rFonts w:ascii="仿宋_GB2312" w:hAnsi="仿宋" w:eastAsia="仿宋_GB2312" w:cs="仿宋"/>
                <w:b/>
                <w:bCs/>
                <w:color w:val="000000" w:themeColor="text1"/>
                <w:sz w:val="24"/>
              </w:rPr>
            </w:pPr>
            <w:r>
              <w:rPr>
                <w:rFonts w:hint="eastAsia" w:ascii="仿宋_GB2312" w:hAnsi="仿宋" w:eastAsia="仿宋_GB2312" w:cs="仿宋"/>
                <w:b/>
                <w:bCs/>
                <w:color w:val="000000" w:themeColor="text1"/>
                <w:kern w:val="0"/>
                <w:sz w:val="24"/>
              </w:rPr>
              <w:t>监管事项</w:t>
            </w:r>
          </w:p>
        </w:tc>
        <w:tc>
          <w:tcPr>
            <w:tcW w:w="7319" w:type="dxa"/>
            <w:shd w:val="clear" w:color="auto" w:fill="auto"/>
            <w:vAlign w:val="center"/>
          </w:tcPr>
          <w:p>
            <w:pPr>
              <w:widowControl/>
              <w:snapToGrid w:val="0"/>
              <w:jc w:val="center"/>
              <w:textAlignment w:val="center"/>
              <w:rPr>
                <w:rFonts w:ascii="仿宋_GB2312" w:hAnsi="仿宋" w:eastAsia="仿宋_GB2312" w:cs="仿宋"/>
                <w:b/>
                <w:bCs/>
                <w:color w:val="000000" w:themeColor="text1"/>
                <w:sz w:val="24"/>
              </w:rPr>
            </w:pPr>
            <w:r>
              <w:rPr>
                <w:rFonts w:hint="eastAsia" w:ascii="仿宋_GB2312" w:hAnsi="仿宋" w:eastAsia="仿宋_GB2312" w:cs="仿宋"/>
                <w:b/>
                <w:bCs/>
                <w:color w:val="000000" w:themeColor="text1"/>
                <w:kern w:val="0"/>
                <w:sz w:val="24"/>
              </w:rPr>
              <w:t>监管依据</w:t>
            </w:r>
          </w:p>
        </w:tc>
        <w:tc>
          <w:tcPr>
            <w:tcW w:w="1032" w:type="dxa"/>
            <w:shd w:val="clear" w:color="auto" w:fill="auto"/>
            <w:vAlign w:val="center"/>
          </w:tcPr>
          <w:p>
            <w:pPr>
              <w:widowControl/>
              <w:snapToGrid w:val="0"/>
              <w:jc w:val="center"/>
              <w:textAlignment w:val="center"/>
              <w:rPr>
                <w:rFonts w:ascii="仿宋_GB2312" w:hAnsi="仿宋" w:eastAsia="仿宋_GB2312" w:cs="仿宋"/>
                <w:b/>
                <w:bCs/>
                <w:color w:val="000000" w:themeColor="text1"/>
                <w:sz w:val="24"/>
              </w:rPr>
            </w:pPr>
            <w:r>
              <w:rPr>
                <w:rFonts w:hint="eastAsia" w:ascii="仿宋_GB2312" w:hAnsi="仿宋" w:eastAsia="仿宋_GB2312" w:cs="仿宋"/>
                <w:b/>
                <w:bCs/>
                <w:color w:val="000000" w:themeColor="text1"/>
                <w:kern w:val="0"/>
                <w:sz w:val="24"/>
              </w:rPr>
              <w:t>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129" w:type="dxa"/>
            <w:gridSpan w:val="2"/>
            <w:vMerge w:val="restart"/>
            <w:shd w:val="clear" w:color="auto" w:fill="auto"/>
            <w:noWrap/>
            <w:vAlign w:val="center"/>
          </w:tcPr>
          <w:p>
            <w:pPr>
              <w:widowControl/>
              <w:snapToGrid w:val="0"/>
              <w:jc w:val="center"/>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消防管理</w:t>
            </w:r>
          </w:p>
        </w:tc>
        <w:tc>
          <w:tcPr>
            <w:tcW w:w="3128"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（一）消防通道</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《消防法》《北京市消防条例》《北京市物业管理条例》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2</w:t>
            </w:r>
            <w:r>
              <w:rPr>
                <w:rFonts w:ascii="仿宋_GB2312" w:hAnsi="仿宋" w:eastAsia="仿宋_GB2312" w:cs="仿宋"/>
                <w:color w:val="000000" w:themeColor="text1"/>
                <w:sz w:val="24"/>
              </w:rPr>
              <w:t>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1" w:hRule="atLeast"/>
          <w:jc w:val="center"/>
        </w:trPr>
        <w:tc>
          <w:tcPr>
            <w:tcW w:w="2129" w:type="dxa"/>
            <w:gridSpan w:val="2"/>
            <w:vMerge w:val="continue"/>
            <w:shd w:val="clear" w:color="auto" w:fill="auto"/>
            <w:noWrap/>
            <w:vAlign w:val="center"/>
          </w:tcPr>
          <w:p>
            <w:pPr>
              <w:snapToGrid w:val="0"/>
              <w:jc w:val="center"/>
              <w:rPr>
                <w:rFonts w:ascii="仿宋_GB2312" w:hAnsi="仿宋" w:eastAsia="仿宋_GB2312" w:cs="仿宋"/>
                <w:color w:val="000000" w:themeColor="text1"/>
                <w:sz w:val="24"/>
              </w:rPr>
            </w:pPr>
          </w:p>
        </w:tc>
        <w:tc>
          <w:tcPr>
            <w:tcW w:w="3128"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（二）消防设施</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《消防法》《北京市消防条例》《北京市物业管理条例》《建筑消防设施维护与管理》</w:t>
            </w:r>
            <w:r>
              <w:rPr>
                <w:rFonts w:hint="eastAsia" w:ascii="仿宋_GB2312" w:hAnsi="仿宋" w:eastAsia="仿宋_GB2312" w:cs="仿宋"/>
                <w:color w:val="000000" w:themeColor="text1"/>
                <w:sz w:val="24"/>
              </w:rPr>
              <w:t>《北京市单位消防安全主体责任规定》</w:t>
            </w:r>
            <w:r>
              <w:rPr>
                <w:rFonts w:hint="eastAsia" w:ascii="仿宋_GB2312" w:hAnsi="仿宋" w:eastAsia="仿宋_GB2312" w:cs="仿宋"/>
                <w:color w:val="000000" w:themeColor="text1"/>
                <w:kern w:val="0"/>
                <w:sz w:val="24"/>
              </w:rPr>
              <w:t>《高层民用建筑消防安全管理规定》</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2</w:t>
            </w:r>
            <w:r>
              <w:rPr>
                <w:rFonts w:ascii="仿宋_GB2312" w:hAnsi="仿宋" w:eastAsia="仿宋_GB2312" w:cs="仿宋"/>
                <w:color w:val="000000" w:themeColor="text1"/>
                <w:sz w:val="24"/>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2129" w:type="dxa"/>
            <w:gridSpan w:val="2"/>
            <w:vMerge w:val="continue"/>
            <w:shd w:val="clear" w:color="auto" w:fill="auto"/>
            <w:noWrap/>
            <w:vAlign w:val="center"/>
          </w:tcPr>
          <w:p>
            <w:pPr>
              <w:snapToGrid w:val="0"/>
              <w:jc w:val="center"/>
              <w:rPr>
                <w:rFonts w:ascii="仿宋_GB2312" w:hAnsi="仿宋" w:eastAsia="仿宋_GB2312" w:cs="仿宋"/>
                <w:color w:val="000000" w:themeColor="text1"/>
                <w:sz w:val="24"/>
              </w:rPr>
            </w:pPr>
          </w:p>
        </w:tc>
        <w:tc>
          <w:tcPr>
            <w:tcW w:w="3128"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（三）消防制度</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《北京市单位消防安全主体责任规定》</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2</w:t>
            </w:r>
            <w:r>
              <w:rPr>
                <w:rFonts w:ascii="仿宋_GB2312" w:hAnsi="仿宋" w:eastAsia="仿宋_GB2312" w:cs="仿宋"/>
                <w:color w:val="000000" w:themeColor="text1"/>
                <w:sz w:val="24"/>
              </w:rPr>
              <w:t>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jc w:val="center"/>
        </w:trPr>
        <w:tc>
          <w:tcPr>
            <w:tcW w:w="2129" w:type="dxa"/>
            <w:gridSpan w:val="2"/>
            <w:vMerge w:val="continue"/>
            <w:shd w:val="clear" w:color="auto" w:fill="auto"/>
            <w:noWrap/>
            <w:vAlign w:val="center"/>
          </w:tcPr>
          <w:p>
            <w:pPr>
              <w:snapToGrid w:val="0"/>
              <w:jc w:val="center"/>
              <w:rPr>
                <w:rFonts w:ascii="仿宋_GB2312" w:hAnsi="仿宋" w:eastAsia="仿宋_GB2312" w:cs="仿宋"/>
                <w:color w:val="000000" w:themeColor="text1"/>
                <w:sz w:val="24"/>
              </w:rPr>
            </w:pPr>
          </w:p>
        </w:tc>
        <w:tc>
          <w:tcPr>
            <w:tcW w:w="3128"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（四）宣传教育培训和消防演练</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《北京市单位消防安全主体责任规定》</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2</w:t>
            </w:r>
            <w:r>
              <w:rPr>
                <w:rFonts w:ascii="仿宋_GB2312" w:hAnsi="仿宋" w:eastAsia="仿宋_GB2312" w:cs="仿宋"/>
                <w:color w:val="000000" w:themeColor="text1"/>
                <w:sz w:val="24"/>
              </w:rPr>
              <w:t>52</w:t>
            </w:r>
          </w:p>
        </w:tc>
      </w:tr>
    </w:tbl>
    <w:p/>
    <w:tbl>
      <w:tblPr>
        <w:tblStyle w:val="26"/>
        <w:tblW w:w="136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9"/>
        <w:gridCol w:w="3128"/>
        <w:gridCol w:w="7319"/>
        <w:gridCol w:w="10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jc w:val="center"/>
        </w:trPr>
        <w:tc>
          <w:tcPr>
            <w:tcW w:w="2129" w:type="dxa"/>
            <w:vMerge w:val="restart"/>
            <w:shd w:val="clear" w:color="auto" w:fill="auto"/>
            <w:noWrap/>
            <w:vAlign w:val="center"/>
          </w:tcPr>
          <w:p>
            <w:pPr>
              <w:widowControl/>
              <w:snapToGrid w:val="0"/>
              <w:jc w:val="center"/>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消防管理</w:t>
            </w:r>
          </w:p>
        </w:tc>
        <w:tc>
          <w:tcPr>
            <w:tcW w:w="3128"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（五）消防安全检查及时消除火灾隐患</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《北京市单位消防安全主体责任规定》</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2</w:t>
            </w:r>
            <w:r>
              <w:rPr>
                <w:rFonts w:ascii="仿宋_GB2312" w:hAnsi="仿宋" w:eastAsia="仿宋_GB2312" w:cs="仿宋"/>
                <w:color w:val="000000" w:themeColor="text1"/>
                <w:sz w:val="24"/>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2129" w:type="dxa"/>
            <w:vMerge w:val="continue"/>
            <w:shd w:val="clear" w:color="auto" w:fill="auto"/>
            <w:noWrap/>
            <w:vAlign w:val="center"/>
          </w:tcPr>
          <w:p>
            <w:pPr>
              <w:snapToGrid w:val="0"/>
              <w:jc w:val="center"/>
              <w:rPr>
                <w:rFonts w:ascii="仿宋_GB2312" w:hAnsi="仿宋" w:eastAsia="仿宋_GB2312" w:cs="仿宋"/>
                <w:color w:val="000000" w:themeColor="text1"/>
                <w:sz w:val="24"/>
              </w:rPr>
            </w:pPr>
          </w:p>
        </w:tc>
        <w:tc>
          <w:tcPr>
            <w:tcW w:w="3128"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（六）扑救初起火灾和保护现场</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《北京市单位消防安全主体责任规定》</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2</w:t>
            </w:r>
            <w:r>
              <w:rPr>
                <w:rFonts w:ascii="仿宋_GB2312" w:hAnsi="仿宋" w:eastAsia="仿宋_GB2312" w:cs="仿宋"/>
                <w:color w:val="000000" w:themeColor="text1"/>
                <w:sz w:val="24"/>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2129" w:type="dxa"/>
            <w:vMerge w:val="continue"/>
            <w:shd w:val="clear" w:color="auto" w:fill="auto"/>
            <w:noWrap/>
            <w:vAlign w:val="center"/>
          </w:tcPr>
          <w:p>
            <w:pPr>
              <w:snapToGrid w:val="0"/>
              <w:jc w:val="center"/>
              <w:rPr>
                <w:rFonts w:ascii="仿宋_GB2312" w:hAnsi="仿宋" w:eastAsia="仿宋_GB2312" w:cs="仿宋"/>
                <w:color w:val="000000" w:themeColor="text1"/>
                <w:sz w:val="24"/>
              </w:rPr>
            </w:pPr>
          </w:p>
        </w:tc>
        <w:tc>
          <w:tcPr>
            <w:tcW w:w="3128"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（七）安全存储</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《北京市消防条例》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2</w:t>
            </w:r>
            <w:r>
              <w:rPr>
                <w:rFonts w:ascii="仿宋_GB2312" w:hAnsi="仿宋" w:eastAsia="仿宋_GB2312" w:cs="仿宋"/>
                <w:color w:val="000000" w:themeColor="text1"/>
                <w:sz w:val="24"/>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2129" w:type="dxa"/>
            <w:vMerge w:val="continue"/>
            <w:shd w:val="clear" w:color="auto" w:fill="auto"/>
            <w:noWrap/>
            <w:vAlign w:val="center"/>
          </w:tcPr>
          <w:p>
            <w:pPr>
              <w:snapToGrid w:val="0"/>
              <w:jc w:val="center"/>
              <w:rPr>
                <w:rFonts w:ascii="仿宋_GB2312" w:hAnsi="仿宋" w:eastAsia="仿宋_GB2312" w:cs="仿宋"/>
                <w:color w:val="000000" w:themeColor="text1"/>
                <w:sz w:val="24"/>
              </w:rPr>
            </w:pPr>
          </w:p>
        </w:tc>
        <w:tc>
          <w:tcPr>
            <w:tcW w:w="3128"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（八）安全出口</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《北京市消防条例》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2</w:t>
            </w:r>
            <w:r>
              <w:rPr>
                <w:rFonts w:ascii="仿宋_GB2312" w:hAnsi="仿宋" w:eastAsia="仿宋_GB2312" w:cs="仿宋"/>
                <w:color w:val="000000" w:themeColor="text1"/>
                <w:sz w:val="24"/>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2129" w:type="dxa"/>
            <w:vMerge w:val="continue"/>
            <w:shd w:val="clear" w:color="auto" w:fill="auto"/>
            <w:noWrap/>
            <w:vAlign w:val="center"/>
          </w:tcPr>
          <w:p>
            <w:pPr>
              <w:snapToGrid w:val="0"/>
              <w:jc w:val="center"/>
              <w:rPr>
                <w:rFonts w:ascii="仿宋_GB2312" w:hAnsi="仿宋" w:eastAsia="仿宋_GB2312" w:cs="仿宋"/>
                <w:color w:val="000000" w:themeColor="text1"/>
                <w:sz w:val="24"/>
              </w:rPr>
            </w:pPr>
          </w:p>
        </w:tc>
        <w:tc>
          <w:tcPr>
            <w:tcW w:w="3128"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（九）违规用气</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《北京市消防条例》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2</w:t>
            </w:r>
            <w:r>
              <w:rPr>
                <w:rFonts w:ascii="仿宋_GB2312" w:hAnsi="仿宋" w:eastAsia="仿宋_GB2312" w:cs="仿宋"/>
                <w:color w:val="000000" w:themeColor="text1"/>
                <w:sz w:val="24"/>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2129" w:type="dxa"/>
            <w:vMerge w:val="continue"/>
            <w:shd w:val="clear" w:color="auto" w:fill="auto"/>
            <w:noWrap/>
            <w:vAlign w:val="center"/>
          </w:tcPr>
          <w:p>
            <w:pPr>
              <w:snapToGrid w:val="0"/>
              <w:jc w:val="center"/>
              <w:rPr>
                <w:rFonts w:ascii="仿宋_GB2312" w:hAnsi="仿宋" w:eastAsia="仿宋_GB2312" w:cs="仿宋"/>
                <w:color w:val="000000" w:themeColor="text1"/>
                <w:sz w:val="24"/>
              </w:rPr>
            </w:pPr>
          </w:p>
        </w:tc>
        <w:tc>
          <w:tcPr>
            <w:tcW w:w="3128"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（十）消防中控</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《北京市消防条例》《高层民用建筑消防安全管理规定》</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2</w:t>
            </w:r>
            <w:r>
              <w:rPr>
                <w:rFonts w:ascii="仿宋_GB2312" w:hAnsi="仿宋" w:eastAsia="仿宋_GB2312" w:cs="仿宋"/>
                <w:color w:val="000000" w:themeColor="text1"/>
                <w:sz w:val="24"/>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2129" w:type="dxa"/>
            <w:vMerge w:val="continue"/>
            <w:shd w:val="clear" w:color="auto" w:fill="auto"/>
            <w:noWrap/>
            <w:vAlign w:val="center"/>
          </w:tcPr>
          <w:p>
            <w:pPr>
              <w:snapToGrid w:val="0"/>
              <w:jc w:val="center"/>
              <w:rPr>
                <w:rFonts w:ascii="仿宋_GB2312" w:hAnsi="仿宋" w:eastAsia="仿宋_GB2312" w:cs="仿宋"/>
                <w:color w:val="000000" w:themeColor="text1"/>
                <w:sz w:val="24"/>
              </w:rPr>
            </w:pPr>
          </w:p>
        </w:tc>
        <w:tc>
          <w:tcPr>
            <w:tcW w:w="3128"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（十一）明火作业</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《消防法》《高层民用建筑消防安全管理规定》</w:t>
            </w:r>
            <w:r>
              <w:rPr>
                <w:rFonts w:hint="eastAsia" w:ascii="仿宋_GB2312" w:hAnsi="仿宋" w:eastAsia="仿宋_GB2312" w:cs="仿宋"/>
                <w:color w:val="000000" w:themeColor="text1"/>
                <w:sz w:val="24"/>
              </w:rPr>
              <w:t>《北京市单位消防安全主体责任规定》</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2</w:t>
            </w:r>
            <w:r>
              <w:rPr>
                <w:rFonts w:ascii="仿宋_GB2312" w:hAnsi="仿宋" w:eastAsia="仿宋_GB2312" w:cs="仿宋"/>
                <w:color w:val="000000" w:themeColor="text1"/>
                <w:sz w:val="24"/>
              </w:rPr>
              <w:t>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2129" w:type="dxa"/>
            <w:vMerge w:val="continue"/>
            <w:shd w:val="clear" w:color="auto" w:fill="auto"/>
            <w:noWrap/>
            <w:vAlign w:val="center"/>
          </w:tcPr>
          <w:p>
            <w:pPr>
              <w:snapToGrid w:val="0"/>
              <w:jc w:val="center"/>
              <w:rPr>
                <w:rFonts w:ascii="仿宋_GB2312" w:hAnsi="仿宋" w:eastAsia="仿宋_GB2312" w:cs="仿宋"/>
                <w:color w:val="000000" w:themeColor="text1"/>
                <w:sz w:val="24"/>
              </w:rPr>
            </w:pPr>
          </w:p>
        </w:tc>
        <w:tc>
          <w:tcPr>
            <w:tcW w:w="3128"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（十二）消防标识</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《高层民用建筑消防安全管理规定》</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2</w:t>
            </w:r>
            <w:r>
              <w:rPr>
                <w:rFonts w:ascii="仿宋_GB2312" w:hAnsi="仿宋" w:eastAsia="仿宋_GB2312" w:cs="仿宋"/>
                <w:color w:val="000000" w:themeColor="text1"/>
                <w:sz w:val="24"/>
              </w:rPr>
              <w:t>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2129" w:type="dxa"/>
            <w:vMerge w:val="continue"/>
            <w:shd w:val="clear" w:color="auto" w:fill="auto"/>
            <w:noWrap/>
            <w:vAlign w:val="center"/>
          </w:tcPr>
          <w:p>
            <w:pPr>
              <w:snapToGrid w:val="0"/>
              <w:jc w:val="center"/>
              <w:rPr>
                <w:rFonts w:ascii="仿宋_GB2312" w:hAnsi="仿宋" w:eastAsia="仿宋_GB2312" w:cs="仿宋"/>
                <w:color w:val="000000" w:themeColor="text1"/>
                <w:sz w:val="24"/>
              </w:rPr>
            </w:pPr>
          </w:p>
        </w:tc>
        <w:tc>
          <w:tcPr>
            <w:tcW w:w="3128"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（十三）保温修复</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《高层民用建筑消防安全管理规定》</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2</w:t>
            </w:r>
            <w:r>
              <w:rPr>
                <w:rFonts w:ascii="仿宋_GB2312" w:hAnsi="仿宋" w:eastAsia="仿宋_GB2312" w:cs="仿宋"/>
                <w:color w:val="000000" w:themeColor="text1"/>
                <w:sz w:val="24"/>
              </w:rPr>
              <w:t>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2129" w:type="dxa"/>
            <w:vMerge w:val="continue"/>
            <w:shd w:val="clear" w:color="auto" w:fill="auto"/>
            <w:noWrap/>
            <w:vAlign w:val="center"/>
          </w:tcPr>
          <w:p>
            <w:pPr>
              <w:snapToGrid w:val="0"/>
              <w:jc w:val="center"/>
              <w:rPr>
                <w:rFonts w:ascii="仿宋_GB2312" w:hAnsi="仿宋" w:eastAsia="仿宋_GB2312" w:cs="仿宋"/>
                <w:color w:val="000000" w:themeColor="text1"/>
                <w:sz w:val="24"/>
              </w:rPr>
            </w:pPr>
          </w:p>
        </w:tc>
        <w:tc>
          <w:tcPr>
            <w:tcW w:w="3128"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（十四）消防队伍</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《高层民用建筑消防安全管理规定》</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2</w:t>
            </w:r>
            <w:r>
              <w:rPr>
                <w:rFonts w:ascii="仿宋_GB2312" w:hAnsi="仿宋" w:eastAsia="仿宋_GB2312" w:cs="仿宋"/>
                <w:color w:val="000000" w:themeColor="text1"/>
                <w:sz w:val="24"/>
              </w:rPr>
              <w:t>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2129" w:type="dxa"/>
            <w:vMerge w:val="continue"/>
            <w:shd w:val="clear" w:color="auto" w:fill="auto"/>
            <w:noWrap/>
            <w:vAlign w:val="center"/>
          </w:tcPr>
          <w:p>
            <w:pPr>
              <w:snapToGrid w:val="0"/>
              <w:jc w:val="center"/>
              <w:rPr>
                <w:rFonts w:ascii="仿宋_GB2312" w:hAnsi="仿宋" w:eastAsia="仿宋_GB2312" w:cs="仿宋"/>
                <w:color w:val="000000" w:themeColor="text1"/>
                <w:sz w:val="24"/>
              </w:rPr>
            </w:pPr>
          </w:p>
        </w:tc>
        <w:tc>
          <w:tcPr>
            <w:tcW w:w="3128"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（十五）电动车管理</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《高层民用建筑消防安全管理规定》</w:t>
            </w:r>
            <w:r>
              <w:rPr>
                <w:rFonts w:hint="eastAsia" w:ascii="仿宋_GB2312" w:hAnsi="仿宋" w:eastAsia="仿宋_GB2312" w:cs="仿宋"/>
                <w:color w:val="000000" w:themeColor="text1"/>
                <w:sz w:val="24"/>
              </w:rPr>
              <w:t>《北京市单位消防安全主体责任规定》</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2</w:t>
            </w:r>
            <w:r>
              <w:rPr>
                <w:rFonts w:ascii="仿宋_GB2312" w:hAnsi="仿宋" w:eastAsia="仿宋_GB2312" w:cs="仿宋"/>
                <w:color w:val="000000" w:themeColor="text1"/>
                <w:sz w:val="24"/>
              </w:rPr>
              <w:t>60</w:t>
            </w:r>
          </w:p>
        </w:tc>
      </w:tr>
    </w:tbl>
    <w:p>
      <w:pPr>
        <w:snapToGrid w:val="0"/>
        <w:spacing w:line="20" w:lineRule="exact"/>
      </w:pPr>
    </w:p>
    <w:tbl>
      <w:tblPr>
        <w:tblStyle w:val="26"/>
        <w:tblW w:w="136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9"/>
        <w:gridCol w:w="3128"/>
        <w:gridCol w:w="7319"/>
        <w:gridCol w:w="10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2129" w:type="dxa"/>
            <w:vMerge w:val="restart"/>
            <w:shd w:val="clear" w:color="auto" w:fill="auto"/>
            <w:noWrap/>
            <w:vAlign w:val="center"/>
          </w:tcPr>
          <w:p>
            <w:pPr>
              <w:widowControl/>
              <w:snapToGrid w:val="0"/>
              <w:jc w:val="center"/>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消防管理</w:t>
            </w:r>
          </w:p>
        </w:tc>
        <w:tc>
          <w:tcPr>
            <w:tcW w:w="3128"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（十六）违规充电</w:t>
            </w:r>
          </w:p>
        </w:tc>
        <w:tc>
          <w:tcPr>
            <w:tcW w:w="7319" w:type="dxa"/>
            <w:shd w:val="clear" w:color="auto" w:fill="auto"/>
            <w:vAlign w:val="center"/>
          </w:tcPr>
          <w:p>
            <w:pPr>
              <w:widowControl/>
              <w:snapToGrid w:val="0"/>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《北京市物业管理条例》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2</w:t>
            </w:r>
            <w:r>
              <w:rPr>
                <w:rFonts w:ascii="仿宋_GB2312" w:hAnsi="仿宋" w:eastAsia="仿宋_GB2312" w:cs="仿宋"/>
                <w:color w:val="000000" w:themeColor="text1"/>
                <w:sz w:val="24"/>
              </w:rPr>
              <w:t>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2129" w:type="dxa"/>
            <w:vMerge w:val="continue"/>
            <w:shd w:val="clear" w:color="auto" w:fill="auto"/>
            <w:noWrap/>
            <w:vAlign w:val="center"/>
          </w:tcPr>
          <w:p>
            <w:pPr>
              <w:snapToGrid w:val="0"/>
              <w:jc w:val="center"/>
              <w:rPr>
                <w:rFonts w:ascii="仿宋_GB2312" w:hAnsi="仿宋" w:eastAsia="仿宋_GB2312" w:cs="仿宋"/>
                <w:color w:val="000000" w:themeColor="text1"/>
                <w:sz w:val="24"/>
              </w:rPr>
            </w:pPr>
          </w:p>
        </w:tc>
        <w:tc>
          <w:tcPr>
            <w:tcW w:w="3128"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（十七）不及时报告违法行为</w:t>
            </w:r>
          </w:p>
        </w:tc>
        <w:tc>
          <w:tcPr>
            <w:tcW w:w="7319" w:type="dxa"/>
            <w:shd w:val="clear" w:color="auto" w:fill="auto"/>
            <w:vAlign w:val="center"/>
          </w:tcPr>
          <w:p>
            <w:pPr>
              <w:widowControl/>
              <w:snapToGrid w:val="0"/>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《北京市消防条例》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2</w:t>
            </w:r>
            <w:r>
              <w:rPr>
                <w:rFonts w:ascii="仿宋_GB2312" w:hAnsi="仿宋" w:eastAsia="仿宋_GB2312" w:cs="仿宋"/>
                <w:color w:val="000000" w:themeColor="text1"/>
                <w:sz w:val="24"/>
              </w:rPr>
              <w:t>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9" w:hRule="atLeast"/>
          <w:jc w:val="center"/>
        </w:trPr>
        <w:tc>
          <w:tcPr>
            <w:tcW w:w="2129" w:type="dxa"/>
            <w:vMerge w:val="continue"/>
            <w:shd w:val="clear" w:color="auto" w:fill="auto"/>
            <w:noWrap/>
            <w:vAlign w:val="center"/>
          </w:tcPr>
          <w:p>
            <w:pPr>
              <w:snapToGrid w:val="0"/>
              <w:jc w:val="center"/>
              <w:rPr>
                <w:rFonts w:ascii="仿宋_GB2312" w:hAnsi="仿宋" w:eastAsia="仿宋_GB2312" w:cs="仿宋"/>
                <w:color w:val="000000" w:themeColor="text1"/>
                <w:sz w:val="24"/>
              </w:rPr>
            </w:pPr>
          </w:p>
        </w:tc>
        <w:tc>
          <w:tcPr>
            <w:tcW w:w="3128"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（十八）占用、堵塞、封闭其他共用部位（或者损坏其他共用设施设备）</w:t>
            </w:r>
          </w:p>
        </w:tc>
        <w:tc>
          <w:tcPr>
            <w:tcW w:w="7319" w:type="dxa"/>
            <w:shd w:val="clear" w:color="auto" w:fill="auto"/>
            <w:vAlign w:val="center"/>
          </w:tcPr>
          <w:p>
            <w:pPr>
              <w:widowControl/>
              <w:snapToGrid w:val="0"/>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《北京市物业管理条例》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2</w:t>
            </w:r>
            <w:r>
              <w:rPr>
                <w:rFonts w:ascii="仿宋_GB2312" w:hAnsi="仿宋" w:eastAsia="仿宋_GB2312" w:cs="仿宋"/>
                <w:color w:val="000000" w:themeColor="text1"/>
                <w:sz w:val="24"/>
              </w:rPr>
              <w:t>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jc w:val="center"/>
        </w:trPr>
        <w:tc>
          <w:tcPr>
            <w:tcW w:w="13608" w:type="dxa"/>
            <w:gridSpan w:val="4"/>
            <w:shd w:val="clear" w:color="auto" w:fill="auto"/>
            <w:noWrap/>
            <w:vAlign w:val="center"/>
          </w:tcPr>
          <w:p>
            <w:pPr>
              <w:widowControl/>
              <w:snapToGrid w:val="0"/>
              <w:jc w:val="center"/>
              <w:textAlignment w:val="center"/>
              <w:rPr>
                <w:rFonts w:ascii="仿宋_GB2312" w:hAnsi="仿宋" w:eastAsia="仿宋_GB2312" w:cs="仿宋"/>
                <w:b/>
                <w:bCs/>
                <w:color w:val="000000" w:themeColor="text1"/>
                <w:sz w:val="40"/>
                <w:szCs w:val="40"/>
              </w:rPr>
            </w:pPr>
            <w:r>
              <w:rPr>
                <w:rFonts w:hint="eastAsia" w:ascii="仿宋_GB2312" w:hAnsi="仿宋" w:eastAsia="仿宋_GB2312" w:cs="仿宋"/>
                <w:b/>
                <w:bCs/>
                <w:color w:val="000000" w:themeColor="text1"/>
                <w:kern w:val="0"/>
                <w:sz w:val="40"/>
                <w:szCs w:val="40"/>
              </w:rPr>
              <w:t>停车管理方面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2129" w:type="dxa"/>
            <w:shd w:val="clear" w:color="auto" w:fill="auto"/>
            <w:vAlign w:val="center"/>
          </w:tcPr>
          <w:p>
            <w:pPr>
              <w:widowControl/>
              <w:snapToGrid w:val="0"/>
              <w:jc w:val="center"/>
              <w:textAlignment w:val="center"/>
              <w:rPr>
                <w:rFonts w:ascii="仿宋_GB2312" w:hAnsi="仿宋" w:eastAsia="仿宋_GB2312" w:cs="仿宋"/>
                <w:b/>
                <w:bCs/>
                <w:color w:val="000000" w:themeColor="text1"/>
                <w:sz w:val="24"/>
              </w:rPr>
            </w:pPr>
            <w:r>
              <w:rPr>
                <w:rFonts w:hint="eastAsia" w:ascii="仿宋_GB2312" w:hAnsi="仿宋" w:eastAsia="仿宋_GB2312" w:cs="仿宋"/>
                <w:b/>
                <w:bCs/>
                <w:color w:val="000000" w:themeColor="text1"/>
                <w:kern w:val="0"/>
                <w:sz w:val="24"/>
              </w:rPr>
              <w:t>监管内容</w:t>
            </w:r>
          </w:p>
        </w:tc>
        <w:tc>
          <w:tcPr>
            <w:tcW w:w="3128" w:type="dxa"/>
            <w:shd w:val="clear" w:color="auto" w:fill="auto"/>
            <w:vAlign w:val="center"/>
          </w:tcPr>
          <w:p>
            <w:pPr>
              <w:widowControl/>
              <w:snapToGrid w:val="0"/>
              <w:jc w:val="center"/>
              <w:textAlignment w:val="center"/>
              <w:rPr>
                <w:rFonts w:ascii="仿宋_GB2312" w:hAnsi="仿宋" w:eastAsia="仿宋_GB2312" w:cs="仿宋"/>
                <w:b/>
                <w:bCs/>
                <w:color w:val="000000" w:themeColor="text1"/>
                <w:sz w:val="24"/>
              </w:rPr>
            </w:pPr>
            <w:r>
              <w:rPr>
                <w:rFonts w:hint="eastAsia" w:ascii="仿宋_GB2312" w:hAnsi="仿宋" w:eastAsia="仿宋_GB2312" w:cs="仿宋"/>
                <w:b/>
                <w:bCs/>
                <w:color w:val="000000" w:themeColor="text1"/>
                <w:kern w:val="0"/>
                <w:sz w:val="24"/>
              </w:rPr>
              <w:t>监管事项</w:t>
            </w:r>
          </w:p>
        </w:tc>
        <w:tc>
          <w:tcPr>
            <w:tcW w:w="7319" w:type="dxa"/>
            <w:shd w:val="clear" w:color="auto" w:fill="auto"/>
            <w:vAlign w:val="center"/>
          </w:tcPr>
          <w:p>
            <w:pPr>
              <w:widowControl/>
              <w:snapToGrid w:val="0"/>
              <w:jc w:val="center"/>
              <w:textAlignment w:val="center"/>
              <w:rPr>
                <w:rFonts w:ascii="仿宋_GB2312" w:hAnsi="仿宋" w:eastAsia="仿宋_GB2312" w:cs="仿宋"/>
                <w:b/>
                <w:bCs/>
                <w:color w:val="000000" w:themeColor="text1"/>
                <w:sz w:val="24"/>
              </w:rPr>
            </w:pPr>
            <w:r>
              <w:rPr>
                <w:rFonts w:hint="eastAsia" w:ascii="仿宋_GB2312" w:hAnsi="仿宋" w:eastAsia="仿宋_GB2312" w:cs="仿宋"/>
                <w:b/>
                <w:bCs/>
                <w:color w:val="000000" w:themeColor="text1"/>
                <w:kern w:val="0"/>
                <w:sz w:val="24"/>
              </w:rPr>
              <w:t>监管依据</w:t>
            </w:r>
          </w:p>
        </w:tc>
        <w:tc>
          <w:tcPr>
            <w:tcW w:w="1032" w:type="dxa"/>
            <w:shd w:val="clear" w:color="auto" w:fill="auto"/>
            <w:vAlign w:val="center"/>
          </w:tcPr>
          <w:p>
            <w:pPr>
              <w:widowControl/>
              <w:snapToGrid w:val="0"/>
              <w:jc w:val="center"/>
              <w:textAlignment w:val="center"/>
              <w:rPr>
                <w:rFonts w:ascii="仿宋_GB2312" w:hAnsi="仿宋" w:eastAsia="仿宋_GB2312" w:cs="仿宋"/>
                <w:b/>
                <w:bCs/>
                <w:color w:val="000000" w:themeColor="text1"/>
                <w:sz w:val="24"/>
              </w:rPr>
            </w:pPr>
            <w:r>
              <w:rPr>
                <w:rFonts w:hint="eastAsia" w:ascii="仿宋_GB2312" w:hAnsi="仿宋" w:eastAsia="仿宋_GB2312" w:cs="仿宋"/>
                <w:b/>
                <w:bCs/>
                <w:color w:val="000000" w:themeColor="text1"/>
                <w:kern w:val="0"/>
                <w:sz w:val="24"/>
              </w:rPr>
              <w:t>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2129" w:type="dxa"/>
            <w:vMerge w:val="restart"/>
            <w:shd w:val="clear" w:color="auto" w:fill="auto"/>
            <w:vAlign w:val="center"/>
          </w:tcPr>
          <w:p>
            <w:pPr>
              <w:widowControl/>
              <w:snapToGrid w:val="0"/>
              <w:jc w:val="center"/>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一、机动车管理</w:t>
            </w:r>
          </w:p>
        </w:tc>
        <w:tc>
          <w:tcPr>
            <w:tcW w:w="3128"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（一）停车设施设置</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《北京市机动车停车条例》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2</w:t>
            </w:r>
            <w:r>
              <w:rPr>
                <w:rFonts w:ascii="仿宋_GB2312" w:hAnsi="仿宋" w:eastAsia="仿宋_GB2312" w:cs="仿宋"/>
                <w:color w:val="000000" w:themeColor="text1"/>
                <w:sz w:val="24"/>
              </w:rPr>
              <w:t>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2129"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128"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（二）停车设施改作他用</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《北京市机动车停车条例》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2</w:t>
            </w:r>
            <w:r>
              <w:rPr>
                <w:rFonts w:ascii="仿宋_GB2312" w:hAnsi="仿宋" w:eastAsia="仿宋_GB2312" w:cs="仿宋"/>
                <w:color w:val="000000" w:themeColor="text1"/>
                <w:sz w:val="24"/>
              </w:rPr>
              <w:t>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2129"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128"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（三）停车管理</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《北京市机动车停车条例》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2</w:t>
            </w:r>
            <w:r>
              <w:rPr>
                <w:rFonts w:ascii="仿宋_GB2312" w:hAnsi="仿宋" w:eastAsia="仿宋_GB2312" w:cs="仿宋"/>
                <w:color w:val="000000" w:themeColor="text1"/>
                <w:sz w:val="24"/>
              </w:rPr>
              <w:t>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2129"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128"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（四）停车障碍物</w:t>
            </w:r>
          </w:p>
        </w:tc>
        <w:tc>
          <w:tcPr>
            <w:tcW w:w="7319" w:type="dxa"/>
            <w:shd w:val="clear" w:color="auto" w:fill="auto"/>
            <w:noWrap/>
            <w:vAlign w:val="center"/>
          </w:tcPr>
          <w:p>
            <w:pPr>
              <w:widowControl/>
              <w:snapToGrid w:val="0"/>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《北京市机动车停车条例》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2</w:t>
            </w:r>
            <w:r>
              <w:rPr>
                <w:rFonts w:ascii="仿宋_GB2312" w:hAnsi="仿宋" w:eastAsia="仿宋_GB2312" w:cs="仿宋"/>
                <w:color w:val="000000" w:themeColor="text1"/>
                <w:sz w:val="24"/>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2129"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128"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（五）停车备案</w:t>
            </w:r>
          </w:p>
        </w:tc>
        <w:tc>
          <w:tcPr>
            <w:tcW w:w="7319" w:type="dxa"/>
            <w:shd w:val="clear" w:color="auto" w:fill="auto"/>
            <w:noWrap/>
            <w:vAlign w:val="center"/>
          </w:tcPr>
          <w:p>
            <w:pPr>
              <w:widowControl/>
              <w:snapToGrid w:val="0"/>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《北京市机动车停车条例》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2</w:t>
            </w:r>
            <w:r>
              <w:rPr>
                <w:rFonts w:ascii="仿宋_GB2312" w:hAnsi="仿宋" w:eastAsia="仿宋_GB2312" w:cs="仿宋"/>
                <w:color w:val="000000" w:themeColor="text1"/>
                <w:sz w:val="24"/>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2129"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128"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（六）维护停车秩序</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《北京市机动车停车条例》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2</w:t>
            </w:r>
            <w:r>
              <w:rPr>
                <w:rFonts w:ascii="仿宋_GB2312" w:hAnsi="仿宋" w:eastAsia="仿宋_GB2312" w:cs="仿宋"/>
                <w:color w:val="000000" w:themeColor="text1"/>
                <w:sz w:val="24"/>
              </w:rPr>
              <w:t>66</w:t>
            </w:r>
          </w:p>
        </w:tc>
      </w:tr>
    </w:tbl>
    <w:p/>
    <w:tbl>
      <w:tblPr>
        <w:tblStyle w:val="26"/>
        <w:tblW w:w="136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9"/>
        <w:gridCol w:w="3128"/>
        <w:gridCol w:w="7319"/>
        <w:gridCol w:w="10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2129" w:type="dxa"/>
            <w:vMerge w:val="restart"/>
            <w:shd w:val="clear" w:color="auto" w:fill="auto"/>
            <w:vAlign w:val="center"/>
          </w:tcPr>
          <w:p>
            <w:pPr>
              <w:widowControl/>
              <w:snapToGrid w:val="0"/>
              <w:jc w:val="center"/>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一、机动车管理</w:t>
            </w:r>
          </w:p>
        </w:tc>
        <w:tc>
          <w:tcPr>
            <w:tcW w:w="3128"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（七）停车收费</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《北京市机动车停车条例》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2</w:t>
            </w:r>
            <w:r>
              <w:rPr>
                <w:rFonts w:ascii="仿宋_GB2312" w:hAnsi="仿宋" w:eastAsia="仿宋_GB2312" w:cs="仿宋"/>
                <w:color w:val="000000" w:themeColor="text1"/>
                <w:sz w:val="24"/>
              </w:rPr>
              <w:t>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2129" w:type="dxa"/>
            <w:vMerge w:val="continue"/>
            <w:shd w:val="clear" w:color="auto" w:fill="auto"/>
            <w:vAlign w:val="center"/>
          </w:tcPr>
          <w:p>
            <w:pPr>
              <w:snapToGrid w:val="0"/>
              <w:jc w:val="center"/>
              <w:rPr>
                <w:rFonts w:ascii="仿宋_GB2312" w:hAnsi="仿宋" w:eastAsia="仿宋_GB2312" w:cs="仿宋"/>
                <w:color w:val="000000" w:themeColor="text1"/>
                <w:sz w:val="24"/>
              </w:rPr>
            </w:pPr>
          </w:p>
        </w:tc>
        <w:tc>
          <w:tcPr>
            <w:tcW w:w="3128"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（八）车位管理</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《北京市物业管理条例》</w:t>
            </w:r>
          </w:p>
        </w:tc>
        <w:tc>
          <w:tcPr>
            <w:tcW w:w="1032" w:type="dxa"/>
            <w:shd w:val="clear" w:color="auto" w:fill="auto"/>
            <w:noWrap/>
            <w:vAlign w:val="center"/>
          </w:tcPr>
          <w:p>
            <w:pPr>
              <w:snapToGrid w:val="0"/>
              <w:jc w:val="center"/>
              <w:rPr>
                <w:rFonts w:ascii="仿宋_GB2312" w:hAnsi="宋体" w:eastAsia="仿宋_GB2312" w:cs="宋体"/>
                <w:color w:val="000000" w:themeColor="text1"/>
                <w:sz w:val="22"/>
              </w:rPr>
            </w:pPr>
            <w:r>
              <w:rPr>
                <w:rFonts w:hint="eastAsia" w:ascii="仿宋_GB2312" w:hAnsi="宋体" w:eastAsia="仿宋_GB2312" w:cs="宋体"/>
                <w:color w:val="000000" w:themeColor="text1"/>
                <w:sz w:val="22"/>
              </w:rPr>
              <w:t>2</w:t>
            </w:r>
            <w:r>
              <w:rPr>
                <w:rFonts w:ascii="仿宋_GB2312" w:hAnsi="仿宋" w:eastAsia="仿宋_GB2312" w:cs="仿宋"/>
                <w:color w:val="000000" w:themeColor="text1"/>
                <w:sz w:val="24"/>
              </w:rPr>
              <w:t>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2129" w:type="dxa"/>
            <w:shd w:val="clear" w:color="auto" w:fill="auto"/>
            <w:vAlign w:val="center"/>
          </w:tcPr>
          <w:p>
            <w:pPr>
              <w:widowControl/>
              <w:snapToGrid w:val="0"/>
              <w:jc w:val="center"/>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二、非机动车</w:t>
            </w:r>
          </w:p>
        </w:tc>
        <w:tc>
          <w:tcPr>
            <w:tcW w:w="3128"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非机动车公共停车场设置</w:t>
            </w:r>
          </w:p>
        </w:tc>
        <w:tc>
          <w:tcPr>
            <w:tcW w:w="7319" w:type="dxa"/>
            <w:shd w:val="clear" w:color="auto" w:fill="auto"/>
            <w:vAlign w:val="center"/>
          </w:tcPr>
          <w:p>
            <w:pPr>
              <w:widowControl/>
              <w:snapToGrid w:val="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《北京市非机动车管理条例》</w:t>
            </w:r>
          </w:p>
        </w:tc>
        <w:tc>
          <w:tcPr>
            <w:tcW w:w="1032" w:type="dxa"/>
            <w:shd w:val="clear" w:color="auto" w:fill="auto"/>
            <w:noWrap/>
            <w:vAlign w:val="center"/>
          </w:tcPr>
          <w:p>
            <w:pPr>
              <w:snapToGrid w:val="0"/>
              <w:jc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2</w:t>
            </w:r>
            <w:r>
              <w:rPr>
                <w:rFonts w:ascii="仿宋_GB2312" w:hAnsi="仿宋" w:eastAsia="仿宋_GB2312" w:cs="仿宋"/>
                <w:color w:val="000000" w:themeColor="text1"/>
                <w:sz w:val="24"/>
              </w:rPr>
              <w:t>67</w:t>
            </w:r>
          </w:p>
        </w:tc>
      </w:tr>
    </w:tbl>
    <w:p>
      <w:pPr>
        <w:widowControl/>
        <w:jc w:val="left"/>
        <w:rPr>
          <w:color w:val="000000" w:themeColor="text1"/>
        </w:rPr>
      </w:pPr>
      <w:r>
        <w:rPr>
          <w:color w:val="000000" w:themeColor="text1"/>
        </w:rPr>
        <w:br w:type="page"/>
      </w:r>
    </w:p>
    <w:p>
      <w:pPr>
        <w:pStyle w:val="4"/>
        <w:spacing w:before="312" w:after="312"/>
        <w:ind w:firstLine="0" w:firstLineChars="0"/>
        <w:jc w:val="center"/>
        <w:rPr>
          <w:rFonts w:hAnsiTheme="minorHAnsi"/>
          <w:bCs/>
          <w:color w:val="000000" w:themeColor="text1"/>
          <w:sz w:val="40"/>
          <w:szCs w:val="40"/>
          <w:lang w:eastAsia="zh-CN"/>
        </w:rPr>
      </w:pPr>
      <w:bookmarkStart w:id="172" w:name="_Toc150435294"/>
      <w:r>
        <w:rPr>
          <w:rFonts w:hint="eastAsia" w:hAnsi="仿宋" w:cs="仿宋"/>
          <w:bCs/>
          <w:color w:val="000000" w:themeColor="text1"/>
          <w:kern w:val="0"/>
          <w:sz w:val="40"/>
          <w:szCs w:val="40"/>
          <w:lang w:eastAsia="zh-CN"/>
        </w:rPr>
        <w:t>摘 编</w:t>
      </w:r>
      <w:bookmarkEnd w:id="172"/>
    </w:p>
    <w:bookmarkEnd w:id="168"/>
    <w:tbl>
      <w:tblPr>
        <w:tblStyle w:val="26"/>
        <w:tblW w:w="1360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71"/>
        <w:gridCol w:w="2016"/>
        <w:gridCol w:w="1652"/>
        <w:gridCol w:w="816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56" w:hRule="atLeast"/>
          <w:tblHeader/>
          <w:jc w:val="center"/>
        </w:trPr>
        <w:tc>
          <w:tcPr>
            <w:tcW w:w="13608" w:type="dxa"/>
            <w:gridSpan w:val="4"/>
            <w:tcBorders>
              <w:tl2br w:val="nil"/>
              <w:tr2bl w:val="nil"/>
            </w:tcBorders>
            <w:vAlign w:val="center"/>
          </w:tcPr>
          <w:p>
            <w:pPr>
              <w:pStyle w:val="5"/>
              <w:jc w:val="center"/>
              <w:rPr>
                <w:rFonts w:ascii="仿宋" w:eastAsia="仿宋"/>
                <w:color w:val="000000" w:themeColor="text1"/>
                <w:szCs w:val="21"/>
              </w:rPr>
            </w:pPr>
            <w:bookmarkStart w:id="173" w:name="_Toc150435295"/>
            <w:r>
              <w:rPr>
                <w:rFonts w:hint="eastAsia"/>
                <w:color w:val="000000" w:themeColor="text1"/>
              </w:rPr>
              <w:t>市容监管方面</w:t>
            </w:r>
            <w:bookmarkEnd w:id="173"/>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8" w:hRule="atLeast"/>
          <w:tblHeader/>
          <w:jc w:val="center"/>
        </w:trPr>
        <w:tc>
          <w:tcPr>
            <w:tcW w:w="1771" w:type="dxa"/>
            <w:tcBorders>
              <w:tl2br w:val="nil"/>
              <w:tr2bl w:val="nil"/>
            </w:tcBorders>
            <w:vAlign w:val="center"/>
          </w:tcPr>
          <w:p>
            <w:pPr>
              <w:widowControl/>
              <w:snapToGrid w:val="0"/>
              <w:spacing w:line="360" w:lineRule="exact"/>
              <w:jc w:val="center"/>
              <w:textAlignment w:val="center"/>
              <w:rPr>
                <w:rFonts w:ascii="黑体" w:hAnsi="黑体" w:eastAsia="黑体" w:cs="黑体"/>
                <w:color w:val="000000" w:themeColor="text1"/>
                <w:szCs w:val="21"/>
              </w:rPr>
            </w:pPr>
            <w:r>
              <w:rPr>
                <w:rFonts w:hint="eastAsia" w:ascii="黑体" w:hAnsi="黑体" w:eastAsia="黑体" w:cs="黑体"/>
                <w:color w:val="000000" w:themeColor="text1"/>
                <w:szCs w:val="21"/>
              </w:rPr>
              <w:t>监管内容</w:t>
            </w:r>
          </w:p>
        </w:tc>
        <w:tc>
          <w:tcPr>
            <w:tcW w:w="2016" w:type="dxa"/>
            <w:tcBorders>
              <w:tl2br w:val="nil"/>
              <w:tr2bl w:val="nil"/>
            </w:tcBorders>
            <w:vAlign w:val="center"/>
          </w:tcPr>
          <w:p>
            <w:pPr>
              <w:widowControl/>
              <w:snapToGrid w:val="0"/>
              <w:spacing w:line="360" w:lineRule="exact"/>
              <w:jc w:val="center"/>
              <w:textAlignment w:val="center"/>
              <w:rPr>
                <w:rFonts w:ascii="黑体" w:hAnsi="黑体" w:eastAsia="黑体" w:cs="黑体"/>
                <w:color w:val="000000" w:themeColor="text1"/>
                <w:szCs w:val="21"/>
              </w:rPr>
            </w:pPr>
            <w:r>
              <w:rPr>
                <w:rFonts w:hint="eastAsia" w:ascii="黑体" w:hAnsi="黑体" w:eastAsia="黑体" w:cs="黑体"/>
                <w:color w:val="000000" w:themeColor="text1"/>
                <w:szCs w:val="21"/>
              </w:rPr>
              <w:t>监管事项</w:t>
            </w:r>
          </w:p>
        </w:tc>
        <w:tc>
          <w:tcPr>
            <w:tcW w:w="1652" w:type="dxa"/>
            <w:tcBorders>
              <w:tl2br w:val="nil"/>
              <w:tr2bl w:val="nil"/>
            </w:tcBorders>
            <w:shd w:val="clear" w:color="auto" w:fill="auto"/>
            <w:vAlign w:val="center"/>
          </w:tcPr>
          <w:p>
            <w:pPr>
              <w:widowControl/>
              <w:snapToGrid w:val="0"/>
              <w:spacing w:line="360" w:lineRule="exact"/>
              <w:jc w:val="center"/>
              <w:textAlignment w:val="center"/>
              <w:rPr>
                <w:rFonts w:ascii="仿宋" w:hAnsi="仿宋" w:eastAsia="仿宋" w:cs="仿宋"/>
                <w:color w:val="000000" w:themeColor="text1"/>
                <w:szCs w:val="21"/>
              </w:rPr>
            </w:pPr>
            <w:r>
              <w:rPr>
                <w:rFonts w:hint="eastAsia" w:ascii="黑体" w:hAnsi="黑体" w:eastAsia="黑体" w:cs="黑体"/>
                <w:color w:val="000000" w:themeColor="text1"/>
                <w:szCs w:val="21"/>
              </w:rPr>
              <w:t>监管依据</w:t>
            </w:r>
          </w:p>
        </w:tc>
        <w:tc>
          <w:tcPr>
            <w:tcW w:w="8169" w:type="dxa"/>
            <w:tcBorders>
              <w:tl2br w:val="nil"/>
              <w:tr2bl w:val="nil"/>
            </w:tcBorders>
            <w:vAlign w:val="center"/>
          </w:tcPr>
          <w:p>
            <w:pPr>
              <w:widowControl/>
              <w:snapToGrid w:val="0"/>
              <w:spacing w:line="360" w:lineRule="exact"/>
              <w:jc w:val="center"/>
              <w:textAlignment w:val="center"/>
              <w:rPr>
                <w:rFonts w:ascii="仿宋" w:hAnsi="仿宋" w:eastAsia="仿宋" w:cs="仿宋"/>
                <w:b/>
                <w:bCs/>
                <w:color w:val="000000" w:themeColor="text1"/>
                <w:szCs w:val="21"/>
              </w:rPr>
            </w:pPr>
            <w:r>
              <w:rPr>
                <w:rFonts w:hint="eastAsia" w:ascii="黑体" w:hAnsi="黑体" w:eastAsia="黑体" w:cs="黑体"/>
                <w:color w:val="000000" w:themeColor="text1"/>
                <w:szCs w:val="21"/>
              </w:rPr>
              <w:t>监管规则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1" w:hRule="atLeast"/>
          <w:jc w:val="center"/>
        </w:trPr>
        <w:tc>
          <w:tcPr>
            <w:tcW w:w="1771" w:type="dxa"/>
            <w:vMerge w:val="restart"/>
            <w:tcBorders>
              <w:tl2br w:val="nil"/>
              <w:tr2bl w:val="nil"/>
            </w:tcBorders>
            <w:vAlign w:val="center"/>
          </w:tcPr>
          <w:p>
            <w:pPr>
              <w:widowControl/>
              <w:snapToGrid w:val="0"/>
              <w:spacing w:line="360" w:lineRule="auto"/>
              <w:jc w:val="center"/>
              <w:textAlignment w:val="bottom"/>
              <w:rPr>
                <w:rFonts w:ascii="仿宋_GB2312" w:hAnsi="宋体" w:eastAsia="仿宋_GB2312" w:cs="宋体"/>
                <w:color w:val="000000" w:themeColor="text1"/>
                <w:sz w:val="24"/>
                <w:szCs w:val="21"/>
              </w:rPr>
            </w:pPr>
            <w:r>
              <w:rPr>
                <w:rFonts w:hint="eastAsia" w:ascii="仿宋_GB2312" w:hAnsi="宋体" w:eastAsia="仿宋_GB2312" w:cs="宋体"/>
                <w:color w:val="000000" w:themeColor="text1"/>
                <w:sz w:val="24"/>
                <w:szCs w:val="21"/>
              </w:rPr>
              <w:t>一、架空线</w:t>
            </w:r>
          </w:p>
        </w:tc>
        <w:tc>
          <w:tcPr>
            <w:tcW w:w="2016" w:type="dxa"/>
            <w:tcBorders>
              <w:tl2br w:val="nil"/>
              <w:tr2bl w:val="nil"/>
            </w:tcBorders>
            <w:vAlign w:val="center"/>
          </w:tcPr>
          <w:p>
            <w:pPr>
              <w:widowControl/>
              <w:snapToGrid w:val="0"/>
              <w:spacing w:line="400" w:lineRule="exact"/>
              <w:textAlignment w:val="center"/>
              <w:rPr>
                <w:rFonts w:ascii="仿宋_GB2312" w:hAnsi="宋体" w:eastAsia="仿宋_GB2312" w:cs="宋体"/>
                <w:color w:val="000000" w:themeColor="text1"/>
                <w:sz w:val="24"/>
                <w:szCs w:val="21"/>
              </w:rPr>
            </w:pPr>
            <w:r>
              <w:rPr>
                <w:rFonts w:hint="eastAsia" w:ascii="仿宋_GB2312" w:hAnsi="宋体" w:eastAsia="仿宋_GB2312" w:cs="宋体"/>
                <w:color w:val="000000" w:themeColor="text1"/>
                <w:kern w:val="0"/>
                <w:sz w:val="24"/>
                <w:szCs w:val="21"/>
              </w:rPr>
              <w:t>（一）架空线清除</w:t>
            </w:r>
          </w:p>
        </w:tc>
        <w:tc>
          <w:tcPr>
            <w:tcW w:w="1652" w:type="dxa"/>
            <w:tcBorders>
              <w:tl2br w:val="nil"/>
              <w:tr2bl w:val="nil"/>
            </w:tcBorders>
            <w:shd w:val="clear" w:color="auto" w:fill="auto"/>
            <w:vAlign w:val="center"/>
          </w:tcPr>
          <w:p>
            <w:pPr>
              <w:widowControl/>
              <w:snapToGrid w:val="0"/>
              <w:spacing w:line="40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《北京市架空线管理若干规定》</w:t>
            </w:r>
          </w:p>
        </w:tc>
        <w:tc>
          <w:tcPr>
            <w:tcW w:w="8169" w:type="dxa"/>
            <w:tcBorders>
              <w:tl2br w:val="nil"/>
              <w:tr2bl w:val="nil"/>
            </w:tcBorders>
            <w:vAlign w:val="center"/>
          </w:tcPr>
          <w:p>
            <w:pPr>
              <w:widowControl/>
              <w:snapToGrid w:val="0"/>
              <w:spacing w:line="400" w:lineRule="exact"/>
              <w:ind w:firstLine="481" w:firstLineChars="200"/>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第十条</w:t>
            </w:r>
            <w:r>
              <w:rPr>
                <w:rFonts w:hint="eastAsia" w:ascii="仿宋_GB2312" w:hAnsi="仿宋" w:eastAsia="仿宋_GB2312" w:cs="仿宋"/>
                <w:color w:val="000000" w:themeColor="text1"/>
                <w:sz w:val="24"/>
                <w:szCs w:val="21"/>
              </w:rPr>
              <w:t>　架空线的所有权人和依照规定或者约定承担管理责任的单位（以下简称架空线管理人）应当履行以下维护管理义务：</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（一）在架空线的显著位置设置标识，标明架空线管理人名称和联系方式、类别、路由、行政许可有效期等基本信息；</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（二）定期进行巡查和维护；　</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（三）及时向信息化城市管理系统管理单位提供设置信息；</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（四）发现架空线有折断、垂落、松动、倒塌、倾斜等影响安全或者市容景观的情况，立即进行处理；</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（五）及时清除废弃架空线；</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（六）发现杆架上出现擅自搭挂的线缆，应当及时采取措施清除；不能清除的，应当向市政市容行政管理部门报告。</w:t>
            </w:r>
          </w:p>
          <w:p>
            <w:pPr>
              <w:widowControl/>
              <w:snapToGrid w:val="0"/>
              <w:spacing w:line="400" w:lineRule="exact"/>
              <w:ind w:firstLine="481" w:firstLineChars="200"/>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b/>
                <w:bCs/>
                <w:color w:val="000000" w:themeColor="text1"/>
                <w:sz w:val="24"/>
                <w:szCs w:val="21"/>
              </w:rPr>
              <w:t>第二十条</w:t>
            </w:r>
            <w:r>
              <w:rPr>
                <w:rFonts w:hint="eastAsia" w:ascii="仿宋_GB2312" w:hAnsi="仿宋" w:eastAsia="仿宋_GB2312" w:cs="仿宋"/>
                <w:color w:val="000000" w:themeColor="text1"/>
                <w:sz w:val="24"/>
                <w:szCs w:val="21"/>
              </w:rPr>
              <w:t>　违反本规定第十条第（一）、（四）、（六）项的，由城市管理综合行政执法机关责令限期改正，可以处200元以上2000元以下罚款。</w:t>
            </w:r>
          </w:p>
          <w:p>
            <w:pPr>
              <w:widowControl/>
              <w:snapToGrid w:val="0"/>
              <w:spacing w:line="400" w:lineRule="exact"/>
              <w:ind w:firstLine="480" w:firstLineChars="200"/>
              <w:jc w:val="left"/>
              <w:textAlignment w:val="center"/>
              <w:rPr>
                <w:rFonts w:ascii="仿宋_GB2312" w:hAnsi="仿宋" w:eastAsia="仿宋_GB2312" w:cs="仿宋"/>
                <w:color w:val="000000" w:themeColor="text1"/>
                <w:kern w:val="0"/>
                <w:sz w:val="24"/>
                <w:szCs w:val="21"/>
              </w:rPr>
            </w:pPr>
            <w:r>
              <w:rPr>
                <w:rFonts w:hint="eastAsia" w:ascii="仿宋_GB2312" w:hAnsi="仿宋" w:eastAsia="仿宋_GB2312" w:cs="仿宋"/>
                <w:color w:val="000000" w:themeColor="text1"/>
                <w:sz w:val="24"/>
                <w:szCs w:val="21"/>
              </w:rPr>
              <w:t>违反本规定第十条第（五）项的，由城市管理综合行政执法机关责令限期改正，可以处300元以上3000元以下罚款。逾期不改正的，由区县市政市容行政管理部门组织清除。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30" w:hRule="atLeast"/>
          <w:jc w:val="center"/>
        </w:trPr>
        <w:tc>
          <w:tcPr>
            <w:tcW w:w="1771" w:type="dxa"/>
            <w:vMerge w:val="continue"/>
            <w:tcBorders>
              <w:tl2br w:val="nil"/>
              <w:tr2bl w:val="nil"/>
            </w:tcBorders>
            <w:vAlign w:val="center"/>
          </w:tcPr>
          <w:p>
            <w:pPr>
              <w:snapToGrid w:val="0"/>
              <w:jc w:val="center"/>
              <w:rPr>
                <w:rFonts w:ascii="宋体" w:hAnsi="宋体" w:eastAsia="宋体" w:cs="宋体"/>
                <w:color w:val="000000" w:themeColor="text1"/>
                <w:szCs w:val="21"/>
              </w:rPr>
            </w:pPr>
          </w:p>
        </w:tc>
        <w:tc>
          <w:tcPr>
            <w:tcW w:w="2016" w:type="dxa"/>
            <w:tcBorders>
              <w:tl2br w:val="nil"/>
              <w:tr2bl w:val="nil"/>
            </w:tcBorders>
            <w:vAlign w:val="center"/>
          </w:tcPr>
          <w:p>
            <w:pPr>
              <w:widowControl/>
              <w:snapToGrid w:val="0"/>
              <w:spacing w:line="40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（二）架空线埋设</w:t>
            </w:r>
          </w:p>
        </w:tc>
        <w:tc>
          <w:tcPr>
            <w:tcW w:w="1652" w:type="dxa"/>
            <w:tcBorders>
              <w:tl2br w:val="nil"/>
              <w:tr2bl w:val="nil"/>
            </w:tcBorders>
            <w:vAlign w:val="center"/>
          </w:tcPr>
          <w:p>
            <w:pPr>
              <w:widowControl/>
              <w:snapToGrid w:val="0"/>
              <w:spacing w:line="40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《北京市架空线管理若干规定》</w:t>
            </w:r>
          </w:p>
        </w:tc>
        <w:tc>
          <w:tcPr>
            <w:tcW w:w="8169" w:type="dxa"/>
            <w:tcBorders>
              <w:tl2br w:val="nil"/>
              <w:tr2bl w:val="nil"/>
            </w:tcBorders>
            <w:vAlign w:val="center"/>
          </w:tcPr>
          <w:p>
            <w:pPr>
              <w:widowControl/>
              <w:snapToGrid w:val="0"/>
              <w:spacing w:line="400" w:lineRule="exact"/>
              <w:ind w:firstLine="481" w:firstLineChars="200"/>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第十三条</w:t>
            </w:r>
            <w:r>
              <w:rPr>
                <w:rFonts w:hint="eastAsia" w:ascii="仿宋_GB2312" w:hAnsi="仿宋" w:eastAsia="仿宋_GB2312" w:cs="仿宋"/>
                <w:color w:val="000000" w:themeColor="text1"/>
                <w:sz w:val="24"/>
                <w:szCs w:val="21"/>
              </w:rPr>
              <w:t>　市政市容行政管理部门负责组织实施架空线埋设入地年度实施计划，明确地下管道建设单位、道路建设单位、架空线管理人任务，并负责协调、指导、督促任务落实。</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地下管道建设单位、道路建设单位、架空线管理人应当按照市政市容行政管理部门确定的任务，实施架空线埋设入地工作。</w:t>
            </w:r>
          </w:p>
          <w:p>
            <w:pPr>
              <w:widowControl/>
              <w:snapToGrid w:val="0"/>
              <w:spacing w:line="400" w:lineRule="exact"/>
              <w:ind w:firstLine="481" w:firstLineChars="200"/>
              <w:jc w:val="left"/>
              <w:textAlignment w:val="center"/>
              <w:rPr>
                <w:rFonts w:ascii="仿宋" w:hAnsi="仿宋" w:cs="仿宋"/>
                <w:color w:val="000000" w:themeColor="text1"/>
                <w:szCs w:val="21"/>
              </w:rPr>
            </w:pPr>
            <w:r>
              <w:rPr>
                <w:rFonts w:hint="eastAsia" w:ascii="仿宋_GB2312" w:hAnsi="仿宋" w:eastAsia="仿宋_GB2312" w:cs="仿宋"/>
                <w:b/>
                <w:color w:val="000000" w:themeColor="text1"/>
                <w:sz w:val="24"/>
                <w:szCs w:val="21"/>
              </w:rPr>
              <w:t>第二十一条</w:t>
            </w:r>
            <w:r>
              <w:rPr>
                <w:rFonts w:hint="eastAsia" w:ascii="仿宋_GB2312" w:hAnsi="仿宋" w:eastAsia="仿宋_GB2312" w:cs="仿宋"/>
                <w:color w:val="000000" w:themeColor="text1"/>
                <w:sz w:val="24"/>
                <w:szCs w:val="21"/>
              </w:rPr>
              <w:t>　违反本规定第十三条第二款，地下管道建设单位、道路建设单位、架空线管理人不按照市政市容行政管理部门依法确定的任务实施架空线埋设入地工作的，由城市管理综合行政执法机关责令限期改正，可以处3000元以上3万元以下罚款。架空线管理人逾期不改正的，由区县市政市容行政管理部门组织清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8" w:hRule="atLeast"/>
          <w:jc w:val="center"/>
        </w:trPr>
        <w:tc>
          <w:tcPr>
            <w:tcW w:w="1771" w:type="dxa"/>
            <w:vMerge w:val="restart"/>
            <w:tcBorders>
              <w:tl2br w:val="nil"/>
              <w:tr2bl w:val="nil"/>
            </w:tcBorders>
            <w:vAlign w:val="center"/>
          </w:tcPr>
          <w:p>
            <w:pPr>
              <w:widowControl/>
              <w:snapToGrid w:val="0"/>
              <w:spacing w:line="360" w:lineRule="auto"/>
              <w:jc w:val="center"/>
              <w:textAlignment w:val="bottom"/>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二、维护管理</w:t>
            </w:r>
          </w:p>
        </w:tc>
        <w:tc>
          <w:tcPr>
            <w:tcW w:w="2016" w:type="dxa"/>
            <w:tcBorders>
              <w:tl2br w:val="nil"/>
              <w:tr2bl w:val="nil"/>
            </w:tcBorders>
            <w:vAlign w:val="center"/>
          </w:tcPr>
          <w:p>
            <w:pPr>
              <w:widowControl/>
              <w:snapToGrid w:val="0"/>
              <w:spacing w:line="40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（一）维护市容环境卫生</w:t>
            </w:r>
          </w:p>
        </w:tc>
        <w:tc>
          <w:tcPr>
            <w:tcW w:w="1652" w:type="dxa"/>
            <w:tcBorders>
              <w:tl2br w:val="nil"/>
              <w:tr2bl w:val="nil"/>
            </w:tcBorders>
            <w:vAlign w:val="center"/>
          </w:tcPr>
          <w:p>
            <w:pPr>
              <w:widowControl/>
              <w:snapToGrid w:val="0"/>
              <w:spacing w:line="40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《北京市市容环境卫生条例》</w:t>
            </w:r>
          </w:p>
        </w:tc>
        <w:tc>
          <w:tcPr>
            <w:tcW w:w="8169" w:type="dxa"/>
            <w:tcBorders>
              <w:tl2br w:val="nil"/>
              <w:tr2bl w:val="nil"/>
            </w:tcBorders>
            <w:vAlign w:val="center"/>
          </w:tcPr>
          <w:p>
            <w:pPr>
              <w:widowControl/>
              <w:snapToGrid w:val="0"/>
              <w:spacing w:line="400" w:lineRule="exact"/>
              <w:ind w:firstLine="481" w:firstLineChars="200"/>
              <w:jc w:val="left"/>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第二十一条</w:t>
            </w:r>
            <w:r>
              <w:rPr>
                <w:rFonts w:hint="eastAsia" w:ascii="微软雅黑" w:hAnsi="微软雅黑" w:eastAsia="微软雅黑"/>
                <w:color w:val="000000" w:themeColor="text1"/>
                <w:shd w:val="clear" w:color="auto" w:fill="FFFFFF"/>
              </w:rPr>
              <w:t>　</w:t>
            </w:r>
            <w:r>
              <w:rPr>
                <w:rFonts w:hint="eastAsia" w:ascii="仿宋_GB2312" w:hAnsi="仿宋" w:eastAsia="仿宋_GB2312" w:cs="仿宋"/>
                <w:color w:val="000000" w:themeColor="text1"/>
                <w:sz w:val="24"/>
                <w:szCs w:val="21"/>
              </w:rPr>
              <w:t>本市实行市容环境卫生责任制度。单位和个人应当做好市容环境卫生责任区内的市容环境卫生工作。</w:t>
            </w:r>
          </w:p>
          <w:p>
            <w:pPr>
              <w:widowControl/>
              <w:shd w:val="clear" w:color="auto" w:fill="FFFFFF"/>
              <w:snapToGrid w:val="0"/>
              <w:spacing w:line="400" w:lineRule="exact"/>
              <w:ind w:firstLine="200"/>
              <w:jc w:val="left"/>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　市容环境卫生责任区是指单位和个人所有、使用或者管理的建筑物、构筑物或者其他设施、场所及其一定范围内的区域。</w:t>
            </w:r>
          </w:p>
          <w:p>
            <w:pPr>
              <w:widowControl/>
              <w:snapToGrid w:val="0"/>
              <w:spacing w:line="400" w:lineRule="exact"/>
              <w:ind w:firstLine="481" w:firstLineChars="200"/>
              <w:jc w:val="left"/>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第二十三条</w:t>
            </w:r>
            <w:r>
              <w:rPr>
                <w:rFonts w:hint="eastAsia" w:ascii="微软雅黑" w:hAnsi="微软雅黑" w:eastAsia="微软雅黑"/>
                <w:color w:val="000000" w:themeColor="text1"/>
                <w:shd w:val="clear" w:color="auto" w:fill="FFFFFF"/>
              </w:rPr>
              <w:t>　</w:t>
            </w:r>
            <w:r>
              <w:rPr>
                <w:rFonts w:hint="eastAsia" w:ascii="仿宋_GB2312" w:hAnsi="仿宋" w:eastAsia="仿宋_GB2312" w:cs="仿宋"/>
                <w:color w:val="000000" w:themeColor="text1"/>
                <w:sz w:val="24"/>
                <w:szCs w:val="21"/>
              </w:rPr>
              <w:t>城镇地区内市容环境卫生责任区的责任标准是：</w:t>
            </w:r>
          </w:p>
          <w:p>
            <w:pPr>
              <w:widowControl/>
              <w:snapToGrid w:val="0"/>
              <w:spacing w:line="400" w:lineRule="exact"/>
              <w:ind w:firstLine="480" w:firstLineChars="200"/>
              <w:jc w:val="left"/>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（一）保持市容整洁，无乱设摊、乱搭建、乱张贴、乱涂写、乱刻画、乱吊挂、乱堆放等行为；</w:t>
            </w:r>
          </w:p>
          <w:p>
            <w:pPr>
              <w:widowControl/>
              <w:snapToGrid w:val="0"/>
              <w:spacing w:line="400" w:lineRule="exact"/>
              <w:ind w:firstLine="480" w:firstLineChars="200"/>
              <w:jc w:val="left"/>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（二）保持环境卫生整洁，无暴露垃圾、粪便、污水，无污迹，无渣土，按照规定扫雪铲冰；</w:t>
            </w:r>
          </w:p>
          <w:p>
            <w:pPr>
              <w:widowControl/>
              <w:snapToGrid w:val="0"/>
              <w:spacing w:line="400" w:lineRule="exact"/>
              <w:ind w:firstLine="480" w:firstLineChars="200"/>
              <w:jc w:val="left"/>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（三）保持环境卫生设施的整洁、完好。</w:t>
            </w:r>
          </w:p>
          <w:p>
            <w:pPr>
              <w:widowControl/>
              <w:snapToGrid w:val="0"/>
              <w:spacing w:line="400" w:lineRule="exact"/>
              <w:ind w:firstLine="480" w:firstLineChars="200"/>
              <w:jc w:val="left"/>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农村地区市容环境卫生责任区的责任标准由市市政管理行政部门会同市农村工作等有关行政部门制定。</w:t>
            </w:r>
          </w:p>
          <w:p>
            <w:pPr>
              <w:widowControl/>
              <w:snapToGrid w:val="0"/>
              <w:spacing w:line="400" w:lineRule="exact"/>
              <w:ind w:firstLine="480" w:firstLineChars="200"/>
              <w:jc w:val="left"/>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责任人对在市容环境卫生责任区内发生的损害、破坏市容环境卫生的行为，有权予以劝阻、制止并要求城市管理综合执法部门查处。</w:t>
            </w:r>
          </w:p>
          <w:p>
            <w:pPr>
              <w:widowControl/>
              <w:snapToGrid w:val="0"/>
              <w:spacing w:line="400" w:lineRule="exact"/>
              <w:ind w:firstLine="481" w:firstLineChars="200"/>
              <w:jc w:val="left"/>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第二十四条</w:t>
            </w:r>
            <w:r>
              <w:rPr>
                <w:rFonts w:hint="eastAsia" w:ascii="微软雅黑" w:hAnsi="微软雅黑" w:eastAsia="微软雅黑"/>
                <w:color w:val="000000" w:themeColor="text1"/>
                <w:shd w:val="clear" w:color="auto" w:fill="FFFFFF"/>
              </w:rPr>
              <w:t>　</w:t>
            </w:r>
            <w:r>
              <w:rPr>
                <w:rFonts w:hint="eastAsia" w:ascii="仿宋_GB2312" w:hAnsi="仿宋" w:eastAsia="仿宋_GB2312" w:cs="仿宋"/>
                <w:color w:val="000000" w:themeColor="text1"/>
                <w:sz w:val="24"/>
                <w:szCs w:val="21"/>
              </w:rPr>
              <w:t>市容环境卫生责任区的具体范围和责任要求，由区城市管理部门书面告知责任人。</w:t>
            </w:r>
          </w:p>
          <w:p>
            <w:pPr>
              <w:widowControl/>
              <w:snapToGrid w:val="0"/>
              <w:spacing w:line="400" w:lineRule="exact"/>
              <w:ind w:firstLine="480" w:firstLineChars="200"/>
              <w:jc w:val="left"/>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市容环境卫生责任人应当按照规定的要求履行维护市容环境卫生责任。违反规定的，责令改正，并处200元以上1000元以下罚款。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3" w:hRule="atLeast"/>
          <w:jc w:val="center"/>
        </w:trPr>
        <w:tc>
          <w:tcPr>
            <w:tcW w:w="1771" w:type="dxa"/>
            <w:vMerge w:val="continue"/>
            <w:tcBorders>
              <w:tl2br w:val="nil"/>
              <w:tr2bl w:val="nil"/>
            </w:tcBorders>
            <w:vAlign w:val="center"/>
          </w:tcPr>
          <w:p>
            <w:pPr>
              <w:snapToGrid w:val="0"/>
              <w:spacing w:line="360" w:lineRule="auto"/>
              <w:ind w:firstLine="480" w:firstLineChars="200"/>
              <w:jc w:val="center"/>
              <w:rPr>
                <w:rFonts w:ascii="仿宋_GB2312" w:hAnsi="仿宋" w:eastAsia="仿宋_GB2312" w:cs="仿宋"/>
                <w:color w:val="000000" w:themeColor="text1"/>
                <w:sz w:val="24"/>
                <w:szCs w:val="21"/>
              </w:rPr>
            </w:pPr>
          </w:p>
        </w:tc>
        <w:tc>
          <w:tcPr>
            <w:tcW w:w="2016" w:type="dxa"/>
            <w:vMerge w:val="restart"/>
            <w:tcBorders>
              <w:tl2br w:val="nil"/>
              <w:tr2bl w:val="nil"/>
            </w:tcBorders>
            <w:vAlign w:val="center"/>
          </w:tcPr>
          <w:p>
            <w:pPr>
              <w:widowControl/>
              <w:snapToGrid w:val="0"/>
              <w:spacing w:line="40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（二）维修废弃物</w:t>
            </w:r>
          </w:p>
        </w:tc>
        <w:tc>
          <w:tcPr>
            <w:tcW w:w="1652" w:type="dxa"/>
            <w:tcBorders>
              <w:tl2br w:val="nil"/>
              <w:tr2bl w:val="nil"/>
            </w:tcBorders>
            <w:vAlign w:val="center"/>
          </w:tcPr>
          <w:p>
            <w:pPr>
              <w:widowControl/>
              <w:snapToGrid w:val="0"/>
              <w:spacing w:line="40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《北京市城市道路和公共场所环境卫生管理若干规定》</w:t>
            </w:r>
          </w:p>
        </w:tc>
        <w:tc>
          <w:tcPr>
            <w:tcW w:w="8169" w:type="dxa"/>
            <w:tcBorders>
              <w:tl2br w:val="nil"/>
              <w:tr2bl w:val="nil"/>
            </w:tcBorders>
            <w:vAlign w:val="center"/>
          </w:tcPr>
          <w:p>
            <w:pPr>
              <w:widowControl/>
              <w:snapToGrid w:val="0"/>
              <w:spacing w:line="400" w:lineRule="exact"/>
              <w:ind w:firstLine="481" w:firstLineChars="200"/>
              <w:jc w:val="left"/>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第十条第三款</w:t>
            </w:r>
            <w:r>
              <w:rPr>
                <w:rFonts w:hint="eastAsia" w:ascii="仿宋_GB2312" w:hAnsi="仿宋" w:eastAsia="仿宋_GB2312" w:cs="仿宋"/>
                <w:color w:val="000000" w:themeColor="text1"/>
                <w:sz w:val="24"/>
                <w:szCs w:val="21"/>
              </w:rPr>
              <w:t>　违反本规定有下列行为之一的，由城市管理综合执法组织给予处罚：</w:t>
            </w:r>
          </w:p>
          <w:p>
            <w:pPr>
              <w:widowControl/>
              <w:snapToGrid w:val="0"/>
              <w:spacing w:line="400" w:lineRule="exact"/>
              <w:ind w:firstLine="480" w:firstLineChars="200"/>
              <w:jc w:val="left"/>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（三）未及时清除因作业产生的废弃物、枝叶、泥土的，责令限期清理，并可处500元以上5000元以下罚款。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46" w:hRule="atLeast"/>
          <w:jc w:val="center"/>
        </w:trPr>
        <w:tc>
          <w:tcPr>
            <w:tcW w:w="1771" w:type="dxa"/>
            <w:vMerge w:val="continue"/>
            <w:tcBorders>
              <w:tl2br w:val="nil"/>
              <w:tr2bl w:val="nil"/>
            </w:tcBorders>
            <w:vAlign w:val="center"/>
          </w:tcPr>
          <w:p>
            <w:pPr>
              <w:snapToGrid w:val="0"/>
              <w:spacing w:line="360" w:lineRule="auto"/>
              <w:ind w:firstLine="480" w:firstLineChars="200"/>
              <w:jc w:val="left"/>
              <w:rPr>
                <w:rFonts w:ascii="仿宋_GB2312" w:hAnsi="仿宋" w:eastAsia="仿宋_GB2312" w:cs="仿宋"/>
                <w:color w:val="000000" w:themeColor="text1"/>
                <w:sz w:val="24"/>
                <w:szCs w:val="21"/>
              </w:rPr>
            </w:pPr>
          </w:p>
        </w:tc>
        <w:tc>
          <w:tcPr>
            <w:tcW w:w="2016" w:type="dxa"/>
            <w:vMerge w:val="continue"/>
            <w:tcBorders>
              <w:tl2br w:val="nil"/>
              <w:tr2bl w:val="nil"/>
            </w:tcBorders>
            <w:vAlign w:val="center"/>
          </w:tcPr>
          <w:p>
            <w:pPr>
              <w:snapToGrid w:val="0"/>
              <w:spacing w:line="400" w:lineRule="exact"/>
              <w:ind w:firstLine="480" w:firstLineChars="200"/>
              <w:jc w:val="left"/>
              <w:rPr>
                <w:rFonts w:ascii="仿宋_GB2312" w:hAnsi="仿宋" w:eastAsia="仿宋_GB2312" w:cs="仿宋"/>
                <w:color w:val="000000" w:themeColor="text1"/>
                <w:sz w:val="24"/>
                <w:szCs w:val="21"/>
              </w:rPr>
            </w:pPr>
          </w:p>
        </w:tc>
        <w:tc>
          <w:tcPr>
            <w:tcW w:w="1652" w:type="dxa"/>
            <w:tcBorders>
              <w:tl2br w:val="nil"/>
              <w:tr2bl w:val="nil"/>
            </w:tcBorders>
            <w:vAlign w:val="center"/>
          </w:tcPr>
          <w:p>
            <w:pPr>
              <w:snapToGrid w:val="0"/>
              <w:spacing w:line="400" w:lineRule="exact"/>
              <w:jc w:val="left"/>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《北京市市容环境卫生条例》</w:t>
            </w:r>
          </w:p>
        </w:tc>
        <w:tc>
          <w:tcPr>
            <w:tcW w:w="8169" w:type="dxa"/>
            <w:tcBorders>
              <w:tl2br w:val="nil"/>
              <w:tr2bl w:val="nil"/>
            </w:tcBorders>
            <w:vAlign w:val="center"/>
          </w:tcPr>
          <w:p>
            <w:pPr>
              <w:widowControl/>
              <w:snapToGrid w:val="0"/>
              <w:spacing w:line="400" w:lineRule="exact"/>
              <w:ind w:firstLine="481" w:firstLineChars="200"/>
              <w:jc w:val="left"/>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第四十七条</w:t>
            </w:r>
            <w:r>
              <w:rPr>
                <w:rFonts w:hint="eastAsia" w:ascii="仿宋_GB2312" w:hAnsi="仿宋" w:eastAsia="仿宋_GB2312" w:cs="仿宋"/>
                <w:color w:val="000000" w:themeColor="text1"/>
                <w:sz w:val="24"/>
                <w:szCs w:val="21"/>
              </w:rPr>
              <w:t>　维修、清疏排水管道、沟渠，维修、更换路灯、电线杆及其他公共设施所产生的废弃物，作业单位应当按照规定及时清除，不得乱堆乱放。违反规定的，责令限期清理，并可处五百元以上五千元以下罚款。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771" w:type="dxa"/>
            <w:vMerge w:val="continue"/>
            <w:tcBorders>
              <w:tl2br w:val="nil"/>
              <w:tr2bl w:val="nil"/>
            </w:tcBorders>
            <w:vAlign w:val="center"/>
          </w:tcPr>
          <w:p>
            <w:pPr>
              <w:snapToGrid w:val="0"/>
              <w:spacing w:line="360" w:lineRule="auto"/>
              <w:ind w:firstLine="480" w:firstLineChars="200"/>
              <w:jc w:val="center"/>
              <w:rPr>
                <w:rFonts w:ascii="仿宋_GB2312" w:hAnsi="仿宋" w:eastAsia="仿宋_GB2312" w:cs="仿宋"/>
                <w:color w:val="000000" w:themeColor="text1"/>
                <w:sz w:val="24"/>
                <w:szCs w:val="21"/>
              </w:rPr>
            </w:pPr>
          </w:p>
        </w:tc>
        <w:tc>
          <w:tcPr>
            <w:tcW w:w="2016" w:type="dxa"/>
            <w:tcBorders>
              <w:tl2br w:val="nil"/>
              <w:tr2bl w:val="nil"/>
            </w:tcBorders>
            <w:vAlign w:val="center"/>
          </w:tcPr>
          <w:p>
            <w:pPr>
              <w:widowControl/>
              <w:snapToGrid w:val="0"/>
              <w:spacing w:line="40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（三）施工污染</w:t>
            </w:r>
          </w:p>
        </w:tc>
        <w:tc>
          <w:tcPr>
            <w:tcW w:w="1652" w:type="dxa"/>
            <w:tcBorders>
              <w:tl2br w:val="nil"/>
              <w:tr2bl w:val="nil"/>
            </w:tcBorders>
            <w:vAlign w:val="center"/>
          </w:tcPr>
          <w:p>
            <w:pPr>
              <w:widowControl/>
              <w:snapToGrid w:val="0"/>
              <w:spacing w:line="40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《北京市市容环境卫生条例》</w:t>
            </w:r>
          </w:p>
        </w:tc>
        <w:tc>
          <w:tcPr>
            <w:tcW w:w="8169" w:type="dxa"/>
            <w:tcBorders>
              <w:tl2br w:val="nil"/>
              <w:tr2bl w:val="nil"/>
            </w:tcBorders>
            <w:vAlign w:val="center"/>
          </w:tcPr>
          <w:p>
            <w:pPr>
              <w:widowControl/>
              <w:snapToGrid w:val="0"/>
              <w:spacing w:line="400" w:lineRule="exact"/>
              <w:ind w:firstLine="481" w:firstLineChars="200"/>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第四十六条</w:t>
            </w:r>
            <w:r>
              <w:rPr>
                <w:rFonts w:hint="eastAsia" w:ascii="仿宋_GB2312" w:hAnsi="仿宋" w:eastAsia="仿宋_GB2312" w:cs="仿宋"/>
                <w:color w:val="000000" w:themeColor="text1"/>
                <w:sz w:val="24"/>
                <w:szCs w:val="21"/>
              </w:rPr>
              <w:t>　城镇地区内新建、改建、扩建建设工程应当按照规定设置围挡、临时厕所和垃圾收集设施。建设工程施工或者拆除作业期间，应当采取措施防止尘土飞扬、污水流溢；产生的建筑垃圾应当日产日清；对需要回填的土方，应当进行苫盖。建设工程竣工后，施工单位或者建设单位应当及时清除弃物弃料和围挡、临时厕所、垃圾收集设施及其他临时建筑设施。违反规定的，责令限期改正，并处二千元以上二万元以下罚款。</w:t>
            </w:r>
          </w:p>
          <w:p>
            <w:pPr>
              <w:widowControl/>
              <w:shd w:val="clear" w:color="auto" w:fill="FFFFFF"/>
              <w:snapToGrid w:val="0"/>
              <w:spacing w:line="400" w:lineRule="exact"/>
              <w:ind w:firstLine="481" w:firstLineChars="200"/>
              <w:jc w:val="left"/>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第六十条第二款</w:t>
            </w:r>
            <w:r>
              <w:rPr>
                <w:rFonts w:hint="eastAsia" w:ascii="仿宋_GB2312" w:hAnsi="仿宋" w:eastAsia="仿宋_GB2312" w:cs="仿宋"/>
                <w:color w:val="000000" w:themeColor="text1"/>
                <w:sz w:val="24"/>
                <w:szCs w:val="21"/>
              </w:rPr>
              <w:t>　新建、改建、扩建建设工程竣工后，其配套环境卫生设施应当由城市管理部门验收；验收合格后，方可投入使用。</w:t>
            </w:r>
          </w:p>
          <w:p>
            <w:pPr>
              <w:widowControl/>
              <w:shd w:val="clear" w:color="auto" w:fill="FFFFFF"/>
              <w:snapToGrid w:val="0"/>
              <w:spacing w:line="400" w:lineRule="exact"/>
              <w:ind w:firstLine="200"/>
              <w:jc w:val="left"/>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　违反第二款规定，环境卫生设施未经验收或者验收不合格擅自投入使用的，责令限期改正，并处五千元以上三万元以下罚款。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72" w:hRule="atLeast"/>
          <w:jc w:val="center"/>
        </w:trPr>
        <w:tc>
          <w:tcPr>
            <w:tcW w:w="1771" w:type="dxa"/>
            <w:vMerge w:val="continue"/>
            <w:tcBorders>
              <w:tl2br w:val="nil"/>
              <w:tr2bl w:val="nil"/>
            </w:tcBorders>
            <w:vAlign w:val="center"/>
          </w:tcPr>
          <w:p>
            <w:pPr>
              <w:snapToGrid w:val="0"/>
              <w:jc w:val="center"/>
              <w:rPr>
                <w:rFonts w:ascii="宋体" w:hAnsi="宋体" w:eastAsia="宋体" w:cs="宋体"/>
                <w:color w:val="000000" w:themeColor="text1"/>
                <w:szCs w:val="21"/>
              </w:rPr>
            </w:pPr>
          </w:p>
        </w:tc>
        <w:tc>
          <w:tcPr>
            <w:tcW w:w="2016" w:type="dxa"/>
            <w:tcBorders>
              <w:tl2br w:val="nil"/>
              <w:tr2bl w:val="nil"/>
            </w:tcBorders>
            <w:vAlign w:val="center"/>
          </w:tcPr>
          <w:p>
            <w:pPr>
              <w:widowControl/>
              <w:snapToGrid w:val="0"/>
              <w:spacing w:line="40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（四）对各单位落实“门前三包”责任制</w:t>
            </w:r>
          </w:p>
        </w:tc>
        <w:tc>
          <w:tcPr>
            <w:tcW w:w="1652" w:type="dxa"/>
            <w:tcBorders>
              <w:tl2br w:val="nil"/>
              <w:tr2bl w:val="nil"/>
            </w:tcBorders>
            <w:vAlign w:val="center"/>
          </w:tcPr>
          <w:p>
            <w:pPr>
              <w:widowControl/>
              <w:snapToGrid w:val="0"/>
              <w:spacing w:line="40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《北京市门前三包责任制管理办法》</w:t>
            </w:r>
          </w:p>
        </w:tc>
        <w:tc>
          <w:tcPr>
            <w:tcW w:w="8169" w:type="dxa"/>
            <w:tcBorders>
              <w:tl2br w:val="nil"/>
              <w:tr2bl w:val="nil"/>
            </w:tcBorders>
            <w:vAlign w:val="center"/>
          </w:tcPr>
          <w:p>
            <w:pPr>
              <w:widowControl/>
              <w:snapToGrid w:val="0"/>
              <w:rPr>
                <w:rFonts w:ascii="仿宋_GB2312" w:hAnsi="仿宋" w:eastAsia="仿宋_GB2312" w:cs="仿宋"/>
                <w:b/>
                <w:color w:val="000000" w:themeColor="text1"/>
                <w:sz w:val="15"/>
                <w:szCs w:val="21"/>
              </w:rPr>
            </w:pPr>
          </w:p>
          <w:p>
            <w:pPr>
              <w:pStyle w:val="2"/>
              <w:numPr>
                <w:ilvl w:val="0"/>
                <w:numId w:val="0"/>
              </w:numPr>
              <w:spacing w:before="0" w:after="0"/>
              <w:ind w:left="420"/>
              <w:rPr>
                <w:color w:val="000000" w:themeColor="text1"/>
              </w:rPr>
            </w:pPr>
          </w:p>
          <w:p>
            <w:pPr>
              <w:widowControl/>
              <w:snapToGrid w:val="0"/>
              <w:spacing w:line="400" w:lineRule="exact"/>
              <w:ind w:firstLine="481" w:firstLineChars="200"/>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第三条</w:t>
            </w:r>
            <w:r>
              <w:rPr>
                <w:rFonts w:hint="eastAsia" w:ascii="仿宋_GB2312" w:hAnsi="仿宋" w:eastAsia="仿宋_GB2312" w:cs="仿宋"/>
                <w:color w:val="000000" w:themeColor="text1"/>
                <w:sz w:val="24"/>
                <w:szCs w:val="21"/>
              </w:rPr>
              <w:t>　本市“门前三包”责任制管理遵循专业管理和群众管理相结合的原则。各单位应当承担以下“门前三包”责任：</w:t>
            </w:r>
          </w:p>
          <w:p>
            <w:pPr>
              <w:widowControl/>
              <w:snapToGrid w:val="0"/>
              <w:spacing w:line="400" w:lineRule="exact"/>
              <w:ind w:firstLine="480" w:firstLineChars="200"/>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（一）包环境卫生。负责划定的责任区内环境整洁，清扫地面，清除痰迹、污物、废弃物和积水积雪，制止随地吐痰、乱扔乱倒废弃物和乱贴乱挂。</w:t>
            </w:r>
          </w:p>
          <w:p>
            <w:pPr>
              <w:widowControl/>
              <w:snapToGrid w:val="0"/>
              <w:spacing w:line="400" w:lineRule="exact"/>
              <w:ind w:firstLine="480" w:firstLineChars="200"/>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（二）包绿化。在划定的责任区内，按照园林管理部门的规划布置，种植并管护树木花草，维护绿化设施。</w:t>
            </w:r>
          </w:p>
          <w:p>
            <w:pPr>
              <w:widowControl/>
              <w:snapToGrid w:val="0"/>
              <w:spacing w:line="400" w:lineRule="exact"/>
              <w:ind w:firstLine="480" w:firstLineChars="200"/>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三）包社会秩序。在划定的责任区内，不乱堆乱放杂物，不乱设摊点，不私搭乱建，不乱停车辆。发现其他单位或者个人违反规定的，或者发生打架斗殴等违反治安管理规定的，有权予以劝阻、制止，并应当向有关行政管理部门报告。</w:t>
            </w:r>
          </w:p>
          <w:p>
            <w:pPr>
              <w:widowControl/>
              <w:snapToGrid w:val="0"/>
              <w:spacing w:line="400" w:lineRule="exact"/>
              <w:ind w:firstLine="481" w:firstLineChars="200"/>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第八条</w:t>
            </w:r>
            <w:r>
              <w:rPr>
                <w:rFonts w:hint="eastAsia" w:ascii="仿宋_GB2312" w:hAnsi="仿宋" w:eastAsia="仿宋_GB2312" w:cs="仿宋"/>
                <w:color w:val="000000" w:themeColor="text1"/>
                <w:sz w:val="24"/>
                <w:szCs w:val="21"/>
              </w:rPr>
              <w:t>　对违反本办法的单位应当责令改正，并视情节轻重，处200元以上1000元以下的罚款，并对单位负责人处20元以50元以下的罚款。</w:t>
            </w:r>
          </w:p>
          <w:p>
            <w:pPr>
              <w:rPr>
                <w:color w:val="000000" w:themeColor="text1"/>
              </w:rPr>
            </w:pPr>
          </w:p>
          <w:p>
            <w:pPr>
              <w:pStyle w:val="2"/>
              <w:numPr>
                <w:ilvl w:val="0"/>
                <w:numId w:val="0"/>
              </w:numPr>
              <w:spacing w:before="0" w:after="0"/>
              <w:rPr>
                <w:color w:val="000000" w:themeColor="text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67" w:hRule="atLeast"/>
          <w:jc w:val="center"/>
        </w:trPr>
        <w:tc>
          <w:tcPr>
            <w:tcW w:w="1771" w:type="dxa"/>
            <w:vMerge w:val="continue"/>
            <w:tcBorders>
              <w:tl2br w:val="nil"/>
              <w:tr2bl w:val="nil"/>
            </w:tcBorders>
            <w:vAlign w:val="center"/>
          </w:tcPr>
          <w:p>
            <w:pPr>
              <w:snapToGrid w:val="0"/>
              <w:jc w:val="center"/>
              <w:rPr>
                <w:rFonts w:ascii="宋体" w:hAnsi="宋体" w:eastAsia="宋体" w:cs="宋体"/>
                <w:color w:val="000000" w:themeColor="text1"/>
                <w:szCs w:val="21"/>
              </w:rPr>
            </w:pPr>
          </w:p>
        </w:tc>
        <w:tc>
          <w:tcPr>
            <w:tcW w:w="2016" w:type="dxa"/>
            <w:tcBorders>
              <w:tl2br w:val="nil"/>
              <w:tr2bl w:val="nil"/>
            </w:tcBorders>
            <w:vAlign w:val="center"/>
          </w:tcPr>
          <w:p>
            <w:pPr>
              <w:widowControl/>
              <w:snapToGrid w:val="0"/>
              <w:spacing w:line="360" w:lineRule="auto"/>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（五）扫雪铲冰</w:t>
            </w:r>
          </w:p>
        </w:tc>
        <w:tc>
          <w:tcPr>
            <w:tcW w:w="1652" w:type="dxa"/>
            <w:tcBorders>
              <w:tl2br w:val="nil"/>
              <w:tr2bl w:val="nil"/>
            </w:tcBorders>
            <w:vAlign w:val="center"/>
          </w:tcPr>
          <w:p>
            <w:pPr>
              <w:widowControl/>
              <w:snapToGrid w:val="0"/>
              <w:spacing w:line="360" w:lineRule="auto"/>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《北京市人民政府关于扫雪铲冰管理的规定》</w:t>
            </w:r>
          </w:p>
        </w:tc>
        <w:tc>
          <w:tcPr>
            <w:tcW w:w="8169" w:type="dxa"/>
            <w:tcBorders>
              <w:tl2br w:val="nil"/>
              <w:tr2bl w:val="nil"/>
            </w:tcBorders>
            <w:vAlign w:val="center"/>
          </w:tcPr>
          <w:p>
            <w:pPr>
              <w:widowControl/>
              <w:snapToGrid w:val="0"/>
              <w:spacing w:line="400" w:lineRule="exact"/>
              <w:ind w:firstLine="481" w:firstLineChars="200"/>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第三条</w:t>
            </w:r>
            <w:r>
              <w:rPr>
                <w:rFonts w:hint="eastAsia" w:ascii="仿宋_GB2312" w:hAnsi="仿宋" w:eastAsia="仿宋_GB2312" w:cs="仿宋"/>
                <w:color w:val="000000" w:themeColor="text1"/>
                <w:sz w:val="24"/>
                <w:szCs w:val="21"/>
              </w:rPr>
              <w:t>　遇降雪天气，单位和个人应当承担责任地段的扫雪铲冰工作。</w:t>
            </w:r>
          </w:p>
          <w:p>
            <w:pPr>
              <w:widowControl/>
              <w:snapToGrid w:val="0"/>
              <w:spacing w:line="400" w:lineRule="exact"/>
              <w:ind w:firstLine="480" w:firstLineChars="200"/>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居民居住地区，包括胡同、街巷、住宅小区等，由乡镇人民政府或者街道办事处组织居民做好扫雪铲冰工作。实行物业管理的，由物业管理单位负责。</w:t>
            </w:r>
          </w:p>
          <w:p>
            <w:pPr>
              <w:widowControl/>
              <w:snapToGrid w:val="0"/>
              <w:spacing w:line="400" w:lineRule="exact"/>
              <w:ind w:firstLine="481" w:firstLineChars="200"/>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第六条</w:t>
            </w:r>
            <w:r>
              <w:rPr>
                <w:rFonts w:hint="eastAsia" w:ascii="仿宋_GB2312" w:hAnsi="仿宋" w:eastAsia="仿宋_GB2312" w:cs="仿宋"/>
                <w:color w:val="000000" w:themeColor="text1"/>
                <w:sz w:val="24"/>
                <w:szCs w:val="21"/>
              </w:rPr>
              <w:t>　未按照规定完成责任地段扫雪铲冰工作的，由城市管理综合执法部门责令改正，并处责任单位200元以上1000元以下罚款。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49" w:hRule="atLeast"/>
          <w:jc w:val="center"/>
        </w:trPr>
        <w:tc>
          <w:tcPr>
            <w:tcW w:w="1771" w:type="dxa"/>
            <w:vMerge w:val="restart"/>
            <w:tcBorders>
              <w:tl2br w:val="nil"/>
              <w:tr2bl w:val="nil"/>
            </w:tcBorders>
            <w:vAlign w:val="center"/>
          </w:tcPr>
          <w:p>
            <w:pPr>
              <w:widowControl/>
              <w:snapToGrid w:val="0"/>
              <w:spacing w:line="360" w:lineRule="auto"/>
              <w:jc w:val="center"/>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三、照明</w:t>
            </w:r>
          </w:p>
        </w:tc>
        <w:tc>
          <w:tcPr>
            <w:tcW w:w="2016" w:type="dxa"/>
            <w:tcBorders>
              <w:tl2br w:val="nil"/>
              <w:tr2bl w:val="nil"/>
            </w:tcBorders>
            <w:vAlign w:val="center"/>
          </w:tcPr>
          <w:p>
            <w:pPr>
              <w:widowControl/>
              <w:snapToGrid w:val="0"/>
              <w:spacing w:line="360" w:lineRule="auto"/>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（一）破坏照明</w:t>
            </w:r>
          </w:p>
        </w:tc>
        <w:tc>
          <w:tcPr>
            <w:tcW w:w="1652" w:type="dxa"/>
            <w:tcBorders>
              <w:tl2br w:val="nil"/>
              <w:tr2bl w:val="nil"/>
            </w:tcBorders>
            <w:vAlign w:val="center"/>
          </w:tcPr>
          <w:p>
            <w:pPr>
              <w:widowControl/>
              <w:snapToGrid w:val="0"/>
              <w:spacing w:line="360" w:lineRule="auto"/>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《城市照明管理规定》</w:t>
            </w:r>
          </w:p>
        </w:tc>
        <w:tc>
          <w:tcPr>
            <w:tcW w:w="8169" w:type="dxa"/>
            <w:tcBorders>
              <w:tl2br w:val="nil"/>
              <w:tr2bl w:val="nil"/>
            </w:tcBorders>
            <w:vAlign w:val="center"/>
          </w:tcPr>
          <w:p>
            <w:pPr>
              <w:widowControl/>
              <w:snapToGrid w:val="0"/>
              <w:spacing w:line="400" w:lineRule="exact"/>
              <w:ind w:firstLine="481" w:firstLineChars="200"/>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第二十八条</w:t>
            </w:r>
            <w:r>
              <w:rPr>
                <w:rFonts w:hint="eastAsia" w:ascii="仿宋_GB2312" w:hAnsi="仿宋" w:eastAsia="仿宋_GB2312" w:cs="仿宋"/>
                <w:color w:val="000000" w:themeColor="text1"/>
                <w:sz w:val="24"/>
                <w:szCs w:val="21"/>
              </w:rPr>
              <w:t>　任何单位和个人都应当保护城市照明设施，不得实施下列行为：</w:t>
            </w:r>
          </w:p>
          <w:p>
            <w:pPr>
              <w:widowControl/>
              <w:snapToGrid w:val="0"/>
              <w:spacing w:line="400" w:lineRule="exact"/>
              <w:ind w:firstLine="480" w:firstLineChars="200"/>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（一）在城市照明设施上刻划、涂污；</w:t>
            </w:r>
          </w:p>
          <w:p>
            <w:pPr>
              <w:widowControl/>
              <w:snapToGrid w:val="0"/>
              <w:spacing w:line="400" w:lineRule="exact"/>
              <w:ind w:firstLine="480" w:firstLineChars="200"/>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（二）在城市照明设施安全距离内，擅自植树、挖坑取土或者设置其他物体，或者倾倒含酸、碱、盐等腐蚀物或者具有腐蚀性的废渣、废液；</w:t>
            </w:r>
          </w:p>
          <w:p>
            <w:pPr>
              <w:widowControl/>
              <w:snapToGrid w:val="0"/>
              <w:spacing w:line="400" w:lineRule="exact"/>
              <w:ind w:firstLine="480" w:firstLineChars="200"/>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（三）擅自在城市照明设施上张贴、悬挂、设置宣传品、广告；</w:t>
            </w:r>
          </w:p>
          <w:p>
            <w:pPr>
              <w:widowControl/>
              <w:snapToGrid w:val="0"/>
              <w:spacing w:line="400" w:lineRule="exact"/>
              <w:ind w:firstLine="480" w:firstLineChars="200"/>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（四）擅自在城市照明设施上架设线缆、安置其他设施或者接用电源；</w:t>
            </w:r>
          </w:p>
          <w:p>
            <w:pPr>
              <w:widowControl/>
              <w:snapToGrid w:val="0"/>
              <w:spacing w:line="400" w:lineRule="exact"/>
              <w:ind w:firstLine="480" w:firstLineChars="200"/>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（五）擅自迁移、拆除、利用城市照明设施；</w:t>
            </w:r>
          </w:p>
          <w:p>
            <w:pPr>
              <w:widowControl/>
              <w:snapToGrid w:val="0"/>
              <w:spacing w:line="400" w:lineRule="exact"/>
              <w:ind w:firstLine="480" w:firstLineChars="200"/>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（六）其他可能影响城市照明设施正常运行的行为。</w:t>
            </w:r>
          </w:p>
          <w:p>
            <w:pPr>
              <w:widowControl/>
              <w:snapToGrid w:val="0"/>
              <w:spacing w:line="400" w:lineRule="exact"/>
              <w:ind w:firstLine="481" w:firstLineChars="200"/>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第三十二条</w:t>
            </w:r>
            <w:r>
              <w:rPr>
                <w:rFonts w:hint="eastAsia" w:ascii="仿宋_GB2312" w:hAnsi="仿宋" w:eastAsia="仿宋_GB2312" w:cs="仿宋"/>
                <w:color w:val="000000" w:themeColor="text1"/>
                <w:sz w:val="24"/>
                <w:szCs w:val="21"/>
              </w:rPr>
              <w:t>　违反本规定，有第二十八条规定行为之一的，由城市照明主管部门责令限期改正，对个人处以200元以上1000元以下的罚款；对单位处以1000元以上3万元以下的罚款；造成损失的，依法赔偿损失。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59" w:hRule="atLeast"/>
          <w:jc w:val="center"/>
        </w:trPr>
        <w:tc>
          <w:tcPr>
            <w:tcW w:w="1771" w:type="dxa"/>
            <w:vMerge w:val="continue"/>
            <w:tcBorders>
              <w:tl2br w:val="nil"/>
              <w:tr2bl w:val="nil"/>
            </w:tcBorders>
            <w:vAlign w:val="center"/>
          </w:tcPr>
          <w:p>
            <w:pPr>
              <w:widowControl/>
              <w:snapToGrid w:val="0"/>
              <w:spacing w:line="360" w:lineRule="auto"/>
              <w:jc w:val="center"/>
              <w:textAlignment w:val="center"/>
              <w:rPr>
                <w:rFonts w:ascii="仿宋_GB2312" w:hAnsi="仿宋" w:eastAsia="仿宋_GB2312" w:cs="仿宋"/>
                <w:color w:val="000000" w:themeColor="text1"/>
                <w:sz w:val="24"/>
                <w:szCs w:val="21"/>
              </w:rPr>
            </w:pPr>
          </w:p>
        </w:tc>
        <w:tc>
          <w:tcPr>
            <w:tcW w:w="2016" w:type="dxa"/>
            <w:tcBorders>
              <w:tl2br w:val="nil"/>
              <w:tr2bl w:val="nil"/>
            </w:tcBorders>
            <w:vAlign w:val="center"/>
          </w:tcPr>
          <w:p>
            <w:pPr>
              <w:widowControl/>
              <w:snapToGrid w:val="0"/>
              <w:spacing w:line="360" w:lineRule="auto"/>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（二）亮度限制</w:t>
            </w:r>
          </w:p>
        </w:tc>
        <w:tc>
          <w:tcPr>
            <w:tcW w:w="1652" w:type="dxa"/>
            <w:tcBorders>
              <w:tl2br w:val="nil"/>
              <w:tr2bl w:val="nil"/>
            </w:tcBorders>
            <w:vAlign w:val="center"/>
          </w:tcPr>
          <w:p>
            <w:pPr>
              <w:widowControl/>
              <w:snapToGrid w:val="0"/>
              <w:spacing w:line="360" w:lineRule="auto"/>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《城市照明管理规定》</w:t>
            </w:r>
          </w:p>
        </w:tc>
        <w:tc>
          <w:tcPr>
            <w:tcW w:w="8169" w:type="dxa"/>
            <w:tcBorders>
              <w:tl2br w:val="nil"/>
              <w:tr2bl w:val="nil"/>
            </w:tcBorders>
            <w:vAlign w:val="center"/>
          </w:tcPr>
          <w:p>
            <w:pPr>
              <w:widowControl/>
              <w:snapToGrid w:val="0"/>
              <w:spacing w:line="400" w:lineRule="exact"/>
              <w:ind w:firstLine="481" w:firstLineChars="200"/>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第十九条第二款</w:t>
            </w:r>
            <w:r>
              <w:rPr>
                <w:rFonts w:hint="eastAsia" w:ascii="仿宋_GB2312" w:hAnsi="仿宋" w:eastAsia="仿宋_GB2312" w:cs="仿宋"/>
                <w:color w:val="000000" w:themeColor="text1"/>
                <w:sz w:val="24"/>
                <w:szCs w:val="21"/>
              </w:rPr>
              <w:t>　任何单位不得在城市景观照明中有过度照明等超能耗标准的行为。</w:t>
            </w:r>
          </w:p>
          <w:p>
            <w:pPr>
              <w:widowControl/>
              <w:snapToGrid w:val="0"/>
              <w:spacing w:line="400" w:lineRule="exact"/>
              <w:ind w:firstLine="481" w:firstLineChars="200"/>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第三十一条</w:t>
            </w:r>
            <w:r>
              <w:rPr>
                <w:rFonts w:hint="eastAsia" w:ascii="仿宋_GB2312" w:hAnsi="仿宋" w:eastAsia="仿宋_GB2312" w:cs="仿宋"/>
                <w:color w:val="000000" w:themeColor="text1"/>
                <w:sz w:val="24"/>
                <w:szCs w:val="21"/>
              </w:rPr>
              <w:t>　违反本规定，在城市景观照明中有过度照明等超能耗标准行为的，由城市照明主管部门责令限期改正；逾期未改正的，处以1000元以上3万元以下的罚款。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88" w:hRule="atLeast"/>
          <w:jc w:val="center"/>
        </w:trPr>
        <w:tc>
          <w:tcPr>
            <w:tcW w:w="1771" w:type="dxa"/>
            <w:vMerge w:val="restart"/>
            <w:tcBorders>
              <w:tl2br w:val="nil"/>
              <w:tr2bl w:val="nil"/>
            </w:tcBorders>
            <w:vAlign w:val="center"/>
          </w:tcPr>
          <w:p>
            <w:pPr>
              <w:widowControl/>
              <w:snapToGrid w:val="0"/>
              <w:spacing w:line="360" w:lineRule="auto"/>
              <w:jc w:val="center"/>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四、消除四害</w:t>
            </w:r>
          </w:p>
        </w:tc>
        <w:tc>
          <w:tcPr>
            <w:tcW w:w="2016" w:type="dxa"/>
            <w:tcBorders>
              <w:tl2br w:val="nil"/>
              <w:tr2bl w:val="nil"/>
            </w:tcBorders>
            <w:vAlign w:val="center"/>
          </w:tcPr>
          <w:p>
            <w:pPr>
              <w:widowControl/>
              <w:snapToGrid w:val="0"/>
              <w:spacing w:line="360" w:lineRule="auto"/>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（一）防鼠措施</w:t>
            </w:r>
          </w:p>
        </w:tc>
        <w:tc>
          <w:tcPr>
            <w:tcW w:w="1652" w:type="dxa"/>
            <w:tcBorders>
              <w:tl2br w:val="nil"/>
              <w:tr2bl w:val="nil"/>
            </w:tcBorders>
            <w:vAlign w:val="center"/>
          </w:tcPr>
          <w:p>
            <w:pPr>
              <w:widowControl/>
              <w:snapToGrid w:val="0"/>
              <w:spacing w:line="360" w:lineRule="auto"/>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《北京市除四害工作管理规定》</w:t>
            </w:r>
          </w:p>
        </w:tc>
        <w:tc>
          <w:tcPr>
            <w:tcW w:w="8169" w:type="dxa"/>
            <w:tcBorders>
              <w:tl2br w:val="nil"/>
              <w:tr2bl w:val="nil"/>
            </w:tcBorders>
            <w:vAlign w:val="center"/>
          </w:tcPr>
          <w:p>
            <w:pPr>
              <w:widowControl/>
              <w:snapToGrid w:val="0"/>
              <w:spacing w:line="360" w:lineRule="exact"/>
              <w:ind w:firstLine="481" w:firstLineChars="200"/>
              <w:jc w:val="left"/>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第八条</w:t>
            </w:r>
            <w:r>
              <w:rPr>
                <w:rFonts w:hint="eastAsia" w:ascii="仿宋_GB2312" w:hAnsi="仿宋" w:eastAsia="仿宋_GB2312" w:cs="仿宋"/>
                <w:color w:val="000000" w:themeColor="text1"/>
                <w:sz w:val="24"/>
                <w:szCs w:val="21"/>
              </w:rPr>
              <w:t>　单位和住户应当采取清除鼠迹、堵塞鼠洞、添设防范设施等措施及毒杀、诱捕等方法消灭老鼠，使鼠密度等指标符合国家控制标准。</w:t>
            </w:r>
          </w:p>
          <w:p>
            <w:pPr>
              <w:widowControl/>
              <w:snapToGrid w:val="0"/>
              <w:spacing w:line="360" w:lineRule="exact"/>
              <w:ind w:firstLine="481" w:firstLineChars="200"/>
              <w:jc w:val="left"/>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第十七条第一款</w:t>
            </w:r>
            <w:r>
              <w:rPr>
                <w:rFonts w:hint="eastAsia" w:ascii="仿宋_GB2312" w:hAnsi="仿宋" w:eastAsia="仿宋_GB2312" w:cs="仿宋"/>
                <w:color w:val="000000" w:themeColor="text1"/>
                <w:sz w:val="24"/>
                <w:szCs w:val="21"/>
              </w:rPr>
              <w:t>　对违反本规定的下列行为，由市或者区、县爱国卫生运动委员会办公室予以处罚：</w:t>
            </w:r>
          </w:p>
          <w:p>
            <w:pPr>
              <w:widowControl/>
              <w:snapToGrid w:val="0"/>
              <w:spacing w:line="360" w:lineRule="exact"/>
              <w:ind w:firstLine="480" w:firstLineChars="200"/>
              <w:jc w:val="left"/>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（一）未按第八条、第九条、第十条规定采取有效除四害措施，致使四害密度等指标超过国家控制标准的，予以警告，责令限期改正，并可处以20元以上500元以下罚款；情节严重的，处以500元以上1000元以下罚款。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62" w:hRule="atLeast"/>
          <w:jc w:val="center"/>
        </w:trPr>
        <w:tc>
          <w:tcPr>
            <w:tcW w:w="1771" w:type="dxa"/>
            <w:vMerge w:val="continue"/>
            <w:tcBorders>
              <w:tl2br w:val="nil"/>
              <w:tr2bl w:val="nil"/>
            </w:tcBorders>
            <w:vAlign w:val="center"/>
          </w:tcPr>
          <w:p>
            <w:pPr>
              <w:snapToGrid w:val="0"/>
              <w:jc w:val="center"/>
              <w:rPr>
                <w:rFonts w:ascii="仿宋_GB2312" w:hAnsi="仿宋" w:eastAsia="仿宋_GB2312" w:cs="仿宋"/>
                <w:color w:val="000000" w:themeColor="text1"/>
                <w:sz w:val="24"/>
                <w:szCs w:val="21"/>
              </w:rPr>
            </w:pPr>
          </w:p>
        </w:tc>
        <w:tc>
          <w:tcPr>
            <w:tcW w:w="2016" w:type="dxa"/>
            <w:tcBorders>
              <w:tl2br w:val="nil"/>
              <w:tr2bl w:val="nil"/>
            </w:tcBorders>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（二）防蚊蝇措施</w:t>
            </w:r>
          </w:p>
        </w:tc>
        <w:tc>
          <w:tcPr>
            <w:tcW w:w="1652" w:type="dxa"/>
            <w:tcBorders>
              <w:tl2br w:val="nil"/>
              <w:tr2bl w:val="nil"/>
            </w:tcBorders>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《北京市除四害工作管理规定》</w:t>
            </w:r>
          </w:p>
        </w:tc>
        <w:tc>
          <w:tcPr>
            <w:tcW w:w="8169" w:type="dxa"/>
            <w:tcBorders>
              <w:tl2br w:val="nil"/>
              <w:tr2bl w:val="nil"/>
            </w:tcBorders>
            <w:vAlign w:val="center"/>
          </w:tcPr>
          <w:p>
            <w:pPr>
              <w:widowControl/>
              <w:snapToGrid w:val="0"/>
              <w:spacing w:line="400" w:lineRule="exact"/>
              <w:ind w:firstLine="481" w:firstLineChars="200"/>
              <w:jc w:val="left"/>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第九条</w:t>
            </w:r>
            <w:r>
              <w:rPr>
                <w:rFonts w:hint="eastAsia" w:ascii="仿宋_GB2312" w:hAnsi="仿宋" w:eastAsia="仿宋_GB2312" w:cs="仿宋"/>
                <w:color w:val="000000" w:themeColor="text1"/>
                <w:sz w:val="24"/>
                <w:szCs w:val="21"/>
              </w:rPr>
              <w:t>　单位和住户必须按照下列规定清除蚊蝇孳生地并运用化学、物理、生物等方法消灭蚊蝇及其幼虫，使蚊蝇密度等指标符合国家控制标准。</w:t>
            </w:r>
          </w:p>
          <w:p>
            <w:pPr>
              <w:widowControl/>
              <w:snapToGrid w:val="0"/>
              <w:spacing w:line="400" w:lineRule="exact"/>
              <w:ind w:firstLine="480" w:firstLineChars="200"/>
              <w:jc w:val="left"/>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（一）对厕所、下水道口、垃圾桶（箱）、污物容器、雨水污水蓄积地等一切易于孳生和聚集蚊蝇的场所，必须分别采取冲洗、消毒、打扫、平整等卫生措施，防止蚊蝇孳生、聚集，及时消灭蚊蝇和蚊蝇幼虫。</w:t>
            </w:r>
          </w:p>
          <w:p>
            <w:pPr>
              <w:widowControl/>
              <w:snapToGrid w:val="0"/>
              <w:spacing w:line="400" w:lineRule="exact"/>
              <w:ind w:firstLine="480" w:firstLineChars="200"/>
              <w:jc w:val="left"/>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（二）保持单位责任区域、住宅院落公共卫生和家庭卫生，做到室外无蚊蝇孳生地，室内无蚊蝇。</w:t>
            </w:r>
          </w:p>
          <w:p>
            <w:pPr>
              <w:widowControl/>
              <w:snapToGrid w:val="0"/>
              <w:spacing w:line="400" w:lineRule="exact"/>
              <w:ind w:firstLine="480" w:firstLineChars="200"/>
              <w:jc w:val="left"/>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三）农村集体经济组织和农户饲养禽畜，应搞好饲养场所及其周围的环境卫生，清除蚊蝇孳生条件。农村菜区堆肥场由乡、镇人民政府统一规划设置，垃圾处理场、粪库、粪池等由其所有者或管理、使用者做好卫生保洁工作，粪库、粪池应加盖予以密封。在蚊蝇孳生季节，应当对上述场所定期喷洒低毒杀虫药。</w:t>
            </w:r>
          </w:p>
          <w:p>
            <w:pPr>
              <w:widowControl/>
              <w:snapToGrid w:val="0"/>
              <w:spacing w:line="400" w:lineRule="exact"/>
              <w:ind w:firstLine="481" w:firstLineChars="200"/>
              <w:jc w:val="left"/>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第十七条第一款</w:t>
            </w:r>
            <w:r>
              <w:rPr>
                <w:rFonts w:hint="eastAsia" w:ascii="仿宋_GB2312" w:hAnsi="仿宋" w:eastAsia="仿宋_GB2312" w:cs="仿宋"/>
                <w:color w:val="000000" w:themeColor="text1"/>
                <w:sz w:val="24"/>
                <w:szCs w:val="21"/>
              </w:rPr>
              <w:t>　对违反本规定的下列行为，由市或者区、县爱国卫生运动委员会办公室予以处罚：</w:t>
            </w:r>
          </w:p>
          <w:p>
            <w:pPr>
              <w:widowControl/>
              <w:snapToGrid w:val="0"/>
              <w:spacing w:line="400" w:lineRule="exact"/>
              <w:ind w:firstLine="480" w:firstLineChars="200"/>
              <w:jc w:val="left"/>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（一）未按第八条、第九条、第十条规定采取有效除四害措施，致使四害密度等指标超过国家控制标准的，予以警告，责令限期改正，并可处以20元以上500元以下罚款；情节严重的，处以500元以上1000元以下罚款。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28" w:hRule="atLeast"/>
          <w:jc w:val="center"/>
        </w:trPr>
        <w:tc>
          <w:tcPr>
            <w:tcW w:w="1771" w:type="dxa"/>
            <w:vMerge w:val="continue"/>
            <w:tcBorders>
              <w:tl2br w:val="nil"/>
              <w:tr2bl w:val="nil"/>
            </w:tcBorders>
            <w:vAlign w:val="center"/>
          </w:tcPr>
          <w:p>
            <w:pPr>
              <w:snapToGrid w:val="0"/>
              <w:jc w:val="center"/>
              <w:rPr>
                <w:rFonts w:ascii="宋体" w:hAnsi="宋体" w:eastAsia="宋体" w:cs="宋体"/>
                <w:color w:val="000000" w:themeColor="text1"/>
                <w:szCs w:val="21"/>
              </w:rPr>
            </w:pPr>
          </w:p>
        </w:tc>
        <w:tc>
          <w:tcPr>
            <w:tcW w:w="2016" w:type="dxa"/>
            <w:tcBorders>
              <w:tl2br w:val="nil"/>
              <w:tr2bl w:val="nil"/>
            </w:tcBorders>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（三）防蟑螂措施</w:t>
            </w:r>
          </w:p>
        </w:tc>
        <w:tc>
          <w:tcPr>
            <w:tcW w:w="1652" w:type="dxa"/>
            <w:tcBorders>
              <w:tl2br w:val="nil"/>
              <w:tr2bl w:val="nil"/>
            </w:tcBorders>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《北京市除四害工作管理规定》</w:t>
            </w:r>
          </w:p>
        </w:tc>
        <w:tc>
          <w:tcPr>
            <w:tcW w:w="8169" w:type="dxa"/>
            <w:tcBorders>
              <w:tl2br w:val="nil"/>
              <w:tr2bl w:val="nil"/>
            </w:tcBorders>
            <w:vAlign w:val="center"/>
          </w:tcPr>
          <w:p>
            <w:pPr>
              <w:widowControl/>
              <w:snapToGrid w:val="0"/>
              <w:spacing w:line="400" w:lineRule="exact"/>
              <w:ind w:firstLine="481" w:firstLineChars="200"/>
              <w:jc w:val="left"/>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第十条</w:t>
            </w:r>
            <w:r>
              <w:rPr>
                <w:rFonts w:hint="eastAsia" w:ascii="仿宋_GB2312" w:hAnsi="仿宋" w:eastAsia="仿宋_GB2312" w:cs="仿宋"/>
                <w:color w:val="000000" w:themeColor="text1"/>
                <w:sz w:val="24"/>
                <w:szCs w:val="21"/>
              </w:rPr>
              <w:t>　单位和住户发现蟑螂应当及时采取灭杀措施，使蟑螂密度等指标符合国家控制标准。</w:t>
            </w:r>
          </w:p>
          <w:p>
            <w:pPr>
              <w:widowControl/>
              <w:snapToGrid w:val="0"/>
              <w:spacing w:line="400" w:lineRule="exact"/>
              <w:ind w:firstLine="481" w:firstLineChars="200"/>
              <w:jc w:val="left"/>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第十七条第一款</w:t>
            </w:r>
            <w:r>
              <w:rPr>
                <w:rFonts w:hint="eastAsia" w:ascii="仿宋_GB2312" w:hAnsi="仿宋" w:eastAsia="仿宋_GB2312" w:cs="仿宋"/>
                <w:color w:val="000000" w:themeColor="text1"/>
                <w:sz w:val="24"/>
                <w:szCs w:val="21"/>
              </w:rPr>
              <w:t>　对违反本规定的下列行为，由市或者区、县爱国卫生运动委员会办公室予以处罚：</w:t>
            </w:r>
          </w:p>
          <w:p>
            <w:pPr>
              <w:widowControl/>
              <w:snapToGrid w:val="0"/>
              <w:spacing w:line="400" w:lineRule="exact"/>
              <w:ind w:firstLine="480" w:firstLineChars="200"/>
              <w:jc w:val="left"/>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（一）未按第八条、第九条、第十条规定采取有效除四害措施，致使四害密度等指标超过国家控制标准的，予以警告，责令限期改正，并可处以20元以上500元以下罚款；情节严重的，处以500元以上1000元以下罚款。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0" w:hRule="atLeast"/>
          <w:jc w:val="center"/>
        </w:trPr>
        <w:tc>
          <w:tcPr>
            <w:tcW w:w="1771" w:type="dxa"/>
            <w:vMerge w:val="continue"/>
            <w:tcBorders>
              <w:tl2br w:val="nil"/>
              <w:tr2bl w:val="nil"/>
            </w:tcBorders>
            <w:vAlign w:val="center"/>
          </w:tcPr>
          <w:p>
            <w:pPr>
              <w:snapToGrid w:val="0"/>
              <w:jc w:val="center"/>
              <w:rPr>
                <w:rFonts w:ascii="宋体" w:hAnsi="宋体" w:eastAsia="宋体" w:cs="宋体"/>
                <w:color w:val="000000" w:themeColor="text1"/>
                <w:szCs w:val="21"/>
              </w:rPr>
            </w:pPr>
          </w:p>
        </w:tc>
        <w:tc>
          <w:tcPr>
            <w:tcW w:w="2016" w:type="dxa"/>
            <w:tcBorders>
              <w:tl2br w:val="nil"/>
              <w:tr2bl w:val="nil"/>
            </w:tcBorders>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（四）未配置相应设施、措施</w:t>
            </w:r>
          </w:p>
        </w:tc>
        <w:tc>
          <w:tcPr>
            <w:tcW w:w="1652" w:type="dxa"/>
            <w:tcBorders>
              <w:tl2br w:val="nil"/>
              <w:tr2bl w:val="nil"/>
            </w:tcBorders>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《北京市除四害工作管理规定》</w:t>
            </w:r>
          </w:p>
        </w:tc>
        <w:tc>
          <w:tcPr>
            <w:tcW w:w="8169" w:type="dxa"/>
            <w:tcBorders>
              <w:tl2br w:val="nil"/>
              <w:tr2bl w:val="nil"/>
            </w:tcBorders>
            <w:vAlign w:val="center"/>
          </w:tcPr>
          <w:p>
            <w:pPr>
              <w:widowControl/>
              <w:snapToGrid w:val="0"/>
              <w:spacing w:line="400" w:lineRule="exact"/>
              <w:ind w:firstLine="481" w:firstLineChars="200"/>
              <w:jc w:val="left"/>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第十一条</w:t>
            </w:r>
            <w:r>
              <w:rPr>
                <w:rFonts w:hint="eastAsia" w:ascii="仿宋_GB2312" w:hAnsi="仿宋" w:eastAsia="仿宋_GB2312" w:cs="仿宋"/>
                <w:color w:val="000000" w:themeColor="text1"/>
                <w:sz w:val="24"/>
                <w:szCs w:val="21"/>
              </w:rPr>
              <w:t>　单位或个人应当在所管理的食品生产经营场所和宾馆（饭店）、招待所、集贸市场、医院、机场、火车站、长途汽车站、废品收购站、动物园及公厕、垃圾转运站、垃圾处理场等场所配置相应的四害防治设施，并有人负责除四害工作。</w:t>
            </w:r>
          </w:p>
          <w:p>
            <w:pPr>
              <w:widowControl/>
              <w:snapToGrid w:val="0"/>
              <w:spacing w:line="400" w:lineRule="exact"/>
              <w:ind w:firstLine="481" w:firstLineChars="200"/>
              <w:jc w:val="left"/>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第十三条</w:t>
            </w:r>
            <w:r>
              <w:rPr>
                <w:rFonts w:hint="eastAsia" w:ascii="仿宋_GB2312" w:hAnsi="仿宋" w:eastAsia="仿宋_GB2312" w:cs="仿宋"/>
                <w:color w:val="000000" w:themeColor="text1"/>
                <w:sz w:val="24"/>
                <w:szCs w:val="21"/>
              </w:rPr>
              <w:t>　在全市或全区（县）性的除四害统一行动中，单位和住户应当按照市或区（县）爱国卫生运动委员会的部署，使用统一方法、指定的药物及相关器械，实行有效的除四害措施。</w:t>
            </w:r>
          </w:p>
          <w:p>
            <w:pPr>
              <w:widowControl/>
              <w:snapToGrid w:val="0"/>
              <w:spacing w:line="400" w:lineRule="exact"/>
              <w:ind w:firstLine="481" w:firstLineChars="200"/>
              <w:jc w:val="left"/>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第十七条第二款</w:t>
            </w:r>
            <w:r>
              <w:rPr>
                <w:rFonts w:hint="eastAsia" w:ascii="仿宋_GB2312" w:hAnsi="仿宋" w:eastAsia="仿宋_GB2312" w:cs="仿宋"/>
                <w:color w:val="000000" w:themeColor="text1"/>
                <w:sz w:val="24"/>
                <w:szCs w:val="21"/>
              </w:rPr>
              <w:t>　对违反本规定的下列行为，由市或者区、县爱国卫生运动委员会办公室予以处罚：</w:t>
            </w:r>
          </w:p>
          <w:p>
            <w:pPr>
              <w:widowControl/>
              <w:snapToGrid w:val="0"/>
              <w:spacing w:line="400" w:lineRule="exact"/>
              <w:ind w:firstLine="480" w:firstLineChars="200"/>
              <w:jc w:val="left"/>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（二）未按第十一条规定配置相应的四害防治设施或者无人负责除四害工作的，予以警告，责令限期改正，并可处以20元以上1000元以下罚款。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69" w:hRule="atLeast"/>
          <w:jc w:val="center"/>
        </w:trPr>
        <w:tc>
          <w:tcPr>
            <w:tcW w:w="1771" w:type="dxa"/>
            <w:tcBorders>
              <w:tl2br w:val="nil"/>
              <w:tr2bl w:val="nil"/>
            </w:tcBorders>
            <w:vAlign w:val="center"/>
          </w:tcPr>
          <w:p>
            <w:pPr>
              <w:widowControl/>
              <w:snapToGrid w:val="0"/>
              <w:spacing w:line="360" w:lineRule="exact"/>
              <w:jc w:val="center"/>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五、粪便处置</w:t>
            </w:r>
          </w:p>
        </w:tc>
        <w:tc>
          <w:tcPr>
            <w:tcW w:w="2016" w:type="dxa"/>
            <w:tcBorders>
              <w:tl2br w:val="nil"/>
              <w:tr2bl w:val="nil"/>
            </w:tcBorders>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（一）粪便排放、清掏、倾倒</w:t>
            </w:r>
          </w:p>
        </w:tc>
        <w:tc>
          <w:tcPr>
            <w:tcW w:w="1652" w:type="dxa"/>
            <w:tcBorders>
              <w:tl2br w:val="nil"/>
              <w:tr2bl w:val="nil"/>
            </w:tcBorders>
            <w:vAlign w:val="center"/>
          </w:tcPr>
          <w:p>
            <w:pPr>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《北京市市容环境卫生条例》</w:t>
            </w:r>
          </w:p>
        </w:tc>
        <w:tc>
          <w:tcPr>
            <w:tcW w:w="8169" w:type="dxa"/>
            <w:tcBorders>
              <w:tl2br w:val="nil"/>
              <w:tr2bl w:val="nil"/>
            </w:tcBorders>
            <w:vAlign w:val="center"/>
          </w:tcPr>
          <w:p>
            <w:pPr>
              <w:widowControl/>
              <w:shd w:val="clear" w:color="auto" w:fill="FFFFFF"/>
              <w:snapToGrid w:val="0"/>
              <w:spacing w:line="400" w:lineRule="exact"/>
              <w:ind w:firstLine="481" w:firstLineChars="200"/>
              <w:jc w:val="left"/>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第五十八条</w:t>
            </w:r>
            <w:r>
              <w:rPr>
                <w:rFonts w:hint="eastAsia" w:ascii="仿宋_GB2312" w:hAnsi="仿宋" w:eastAsia="仿宋_GB2312" w:cs="仿宋"/>
                <w:color w:val="000000" w:themeColor="text1"/>
                <w:sz w:val="24"/>
                <w:szCs w:val="21"/>
              </w:rPr>
              <w:t>　对厕所的粪便应当排入污水处理系统或者贮（化）粪池。</w:t>
            </w:r>
          </w:p>
          <w:p>
            <w:pPr>
              <w:widowControl/>
              <w:shd w:val="clear" w:color="auto" w:fill="FFFFFF"/>
              <w:snapToGrid w:val="0"/>
              <w:spacing w:line="400" w:lineRule="exact"/>
              <w:ind w:firstLine="480" w:firstLineChars="200"/>
              <w:jc w:val="left"/>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城镇地区内负有清掏粪便责任的单位应当及时清掏，对清掏的粪便密闭运输，并倾倒在指定的消纳场所。</w:t>
            </w:r>
          </w:p>
          <w:p>
            <w:pPr>
              <w:widowControl/>
              <w:shd w:val="clear" w:color="auto" w:fill="FFFFFF"/>
              <w:snapToGrid w:val="0"/>
              <w:spacing w:line="400" w:lineRule="exact"/>
              <w:ind w:firstLine="480" w:firstLineChars="200"/>
              <w:jc w:val="left"/>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违反第一款、第二款规定的，责令改正，并处一千元以上二千元以下罚款；其中违反第二款规定，随意倾倒粪便的，处五千元以上五万元以下罚款。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62" w:hRule="atLeast"/>
          <w:jc w:val="center"/>
        </w:trPr>
        <w:tc>
          <w:tcPr>
            <w:tcW w:w="1771" w:type="dxa"/>
            <w:vMerge w:val="restart"/>
            <w:tcBorders>
              <w:tl2br w:val="nil"/>
              <w:tr2bl w:val="nil"/>
            </w:tcBorders>
            <w:vAlign w:val="center"/>
          </w:tcPr>
          <w:p>
            <w:pPr>
              <w:widowControl/>
              <w:snapToGrid w:val="0"/>
              <w:spacing w:line="360" w:lineRule="exact"/>
              <w:jc w:val="center"/>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六、绿化</w:t>
            </w:r>
          </w:p>
        </w:tc>
        <w:tc>
          <w:tcPr>
            <w:tcW w:w="2016" w:type="dxa"/>
            <w:tcBorders>
              <w:tl2br w:val="nil"/>
              <w:tr2bl w:val="nil"/>
            </w:tcBorders>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（一）绿化养护</w:t>
            </w:r>
          </w:p>
        </w:tc>
        <w:tc>
          <w:tcPr>
            <w:tcW w:w="1652" w:type="dxa"/>
            <w:tcBorders>
              <w:tl2br w:val="nil"/>
              <w:tr2bl w:val="nil"/>
            </w:tcBorders>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《北京市绿化条例》</w:t>
            </w:r>
          </w:p>
        </w:tc>
        <w:tc>
          <w:tcPr>
            <w:tcW w:w="8169" w:type="dxa"/>
            <w:tcBorders>
              <w:tl2br w:val="nil"/>
              <w:tr2bl w:val="nil"/>
            </w:tcBorders>
            <w:vAlign w:val="center"/>
          </w:tcPr>
          <w:p>
            <w:pPr>
              <w:widowControl/>
              <w:snapToGrid w:val="0"/>
              <w:spacing w:line="400" w:lineRule="exact"/>
              <w:ind w:firstLine="481" w:firstLineChars="200"/>
              <w:jc w:val="left"/>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第二十五条</w:t>
            </w:r>
            <w:r>
              <w:rPr>
                <w:rFonts w:hint="eastAsia" w:ascii="仿宋_GB2312" w:hAnsi="仿宋" w:eastAsia="仿宋_GB2312" w:cs="仿宋"/>
                <w:color w:val="000000" w:themeColor="text1"/>
                <w:sz w:val="24"/>
                <w:szCs w:val="21"/>
              </w:rPr>
              <w:t>　居住区、居住小区附属绿化工程竣工后，建设单位应当制作绿地平面图标牌，在居住区、居住小区的显著位置进行永久公示。</w:t>
            </w:r>
          </w:p>
          <w:p>
            <w:pPr>
              <w:widowControl/>
              <w:snapToGrid w:val="0"/>
              <w:spacing w:line="400" w:lineRule="exact"/>
              <w:ind w:firstLine="481" w:firstLineChars="200"/>
              <w:jc w:val="left"/>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第四十条</w:t>
            </w:r>
            <w:r>
              <w:rPr>
                <w:rFonts w:hint="eastAsia" w:ascii="仿宋_GB2312" w:hAnsi="仿宋" w:eastAsia="仿宋_GB2312" w:cs="仿宋"/>
                <w:color w:val="000000" w:themeColor="text1"/>
                <w:sz w:val="24"/>
                <w:szCs w:val="21"/>
              </w:rPr>
              <w:t>　管护单位应当按照国家和本市绿地、树木养护规范对绿地、树木进行管护并做好防火工作。</w:t>
            </w:r>
          </w:p>
          <w:p>
            <w:pPr>
              <w:widowControl/>
              <w:snapToGrid w:val="0"/>
              <w:spacing w:line="400" w:lineRule="exact"/>
              <w:ind w:firstLine="481" w:firstLineChars="200"/>
              <w:jc w:val="left"/>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第四十二条</w:t>
            </w:r>
            <w:r>
              <w:rPr>
                <w:rFonts w:hint="eastAsia" w:ascii="仿宋_GB2312" w:hAnsi="仿宋" w:eastAsia="仿宋_GB2312" w:cs="仿宋"/>
                <w:color w:val="000000" w:themeColor="text1"/>
                <w:sz w:val="24"/>
                <w:szCs w:val="21"/>
              </w:rPr>
              <w:t>　居住区内严重影响居住采光、通风、安全的树木，管护单位应当按照有关技术规范及时组织修剪。当事人应当协助管护单位做好修剪工作。</w:t>
            </w:r>
          </w:p>
          <w:p>
            <w:pPr>
              <w:widowControl/>
              <w:snapToGrid w:val="0"/>
              <w:spacing w:line="400" w:lineRule="exact"/>
              <w:ind w:firstLine="481" w:firstLineChars="200"/>
              <w:jc w:val="left"/>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第五十条</w:t>
            </w:r>
            <w:r>
              <w:rPr>
                <w:rFonts w:hint="eastAsia" w:ascii="仿宋_GB2312" w:hAnsi="仿宋" w:eastAsia="仿宋_GB2312" w:cs="仿宋"/>
                <w:color w:val="000000" w:themeColor="text1"/>
                <w:sz w:val="24"/>
                <w:szCs w:val="21"/>
              </w:rPr>
              <w:t>　禁止下列损害绿化的行为：</w:t>
            </w:r>
          </w:p>
          <w:p>
            <w:pPr>
              <w:widowControl/>
              <w:snapToGrid w:val="0"/>
              <w:spacing w:line="400" w:lineRule="exact"/>
              <w:ind w:firstLine="480" w:firstLineChars="200"/>
              <w:jc w:val="left"/>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（一）在树木旁或者绿地内倾倒、排放污水、垃圾、渣土及其他废弃物；</w:t>
            </w:r>
          </w:p>
          <w:p>
            <w:pPr>
              <w:widowControl/>
              <w:snapToGrid w:val="0"/>
              <w:spacing w:line="400" w:lineRule="exact"/>
              <w:ind w:firstLine="480" w:firstLineChars="200"/>
              <w:jc w:val="left"/>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（二）损毁树木、花草及绿化设施；</w:t>
            </w:r>
          </w:p>
          <w:p>
            <w:pPr>
              <w:widowControl/>
              <w:snapToGrid w:val="0"/>
              <w:spacing w:line="400" w:lineRule="exact"/>
              <w:ind w:firstLine="480" w:firstLineChars="200"/>
              <w:jc w:val="left"/>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（三）在树木或者绿化设施上悬挂广告牌或者其他物品；</w:t>
            </w:r>
          </w:p>
          <w:p>
            <w:pPr>
              <w:widowControl/>
              <w:snapToGrid w:val="0"/>
              <w:spacing w:line="400" w:lineRule="exact"/>
              <w:ind w:firstLine="480" w:firstLineChars="200"/>
              <w:jc w:val="left"/>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（四）在绿地内取土、搭建构筑物；</w:t>
            </w:r>
          </w:p>
          <w:p>
            <w:pPr>
              <w:widowControl/>
              <w:snapToGrid w:val="0"/>
              <w:spacing w:line="400" w:lineRule="exact"/>
              <w:ind w:firstLine="480" w:firstLineChars="200"/>
              <w:jc w:val="left"/>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（五）在绿地内用火、烧烤；</w:t>
            </w:r>
          </w:p>
          <w:p>
            <w:pPr>
              <w:widowControl/>
              <w:snapToGrid w:val="0"/>
              <w:spacing w:line="400" w:lineRule="exact"/>
              <w:ind w:firstLine="480" w:firstLineChars="200"/>
              <w:jc w:val="left"/>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（六）违反国家和本市有关规定截除树木主干、去除树冠；</w:t>
            </w:r>
          </w:p>
          <w:p>
            <w:pPr>
              <w:widowControl/>
              <w:snapToGrid w:val="0"/>
              <w:spacing w:line="400" w:lineRule="exact"/>
              <w:ind w:firstLine="480" w:firstLineChars="200"/>
              <w:jc w:val="left"/>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（七）其他损害绿化成果及绿化设施的行为。</w:t>
            </w:r>
          </w:p>
          <w:p>
            <w:pPr>
              <w:widowControl/>
              <w:snapToGrid w:val="0"/>
              <w:spacing w:line="400" w:lineRule="exact"/>
              <w:ind w:firstLine="481" w:firstLineChars="200"/>
              <w:jc w:val="left"/>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第六十三条</w:t>
            </w:r>
            <w:r>
              <w:rPr>
                <w:rFonts w:hint="eastAsia" w:ascii="仿宋_GB2312" w:hAnsi="仿宋" w:eastAsia="仿宋_GB2312" w:cs="仿宋"/>
                <w:color w:val="000000" w:themeColor="text1"/>
                <w:sz w:val="24"/>
                <w:szCs w:val="21"/>
              </w:rPr>
              <w:t>　违反本条例第二十五条规定，建设单位未按照要求公示绿地平面图的，责令限期改正；逾期不改正的，处5000元罚款。</w:t>
            </w:r>
          </w:p>
          <w:p>
            <w:pPr>
              <w:widowControl/>
              <w:snapToGrid w:val="0"/>
              <w:spacing w:line="400" w:lineRule="exact"/>
              <w:ind w:firstLine="481" w:firstLineChars="200"/>
              <w:jc w:val="left"/>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第六十五条</w:t>
            </w:r>
            <w:r>
              <w:rPr>
                <w:rFonts w:hint="eastAsia" w:ascii="仿宋_GB2312" w:hAnsi="仿宋" w:eastAsia="仿宋_GB2312" w:cs="仿宋"/>
                <w:color w:val="000000" w:themeColor="text1"/>
                <w:sz w:val="24"/>
                <w:szCs w:val="21"/>
              </w:rPr>
              <w:t>　违反本条例第四十条规定，管护单位未按照养护规范进行养护并做好防火工作的，责令限期改正；逾期不改正，造成树木死亡、绿化设施损毁、景区风貌破坏的，处2000元以上2万元以下罚款。</w:t>
            </w:r>
          </w:p>
          <w:p>
            <w:pPr>
              <w:widowControl/>
              <w:snapToGrid w:val="0"/>
              <w:spacing w:line="400" w:lineRule="exact"/>
              <w:ind w:firstLine="481" w:firstLineChars="200"/>
              <w:jc w:val="left"/>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第六十七条</w:t>
            </w:r>
            <w:r>
              <w:rPr>
                <w:rFonts w:hint="eastAsia" w:ascii="仿宋_GB2312" w:hAnsi="仿宋" w:eastAsia="仿宋_GB2312" w:cs="仿宋"/>
                <w:color w:val="000000" w:themeColor="text1"/>
                <w:sz w:val="24"/>
                <w:szCs w:val="21"/>
              </w:rPr>
              <w:t>　违反本条例第五十条第（一）项至第（五）项、第（七）项规定，损害绿化成果及绿化设施的，责令停止违法行为。情节较轻的，处20元以上50元以下罚款；情节严重的，处50元以上500元以下罚款。</w:t>
            </w:r>
          </w:p>
          <w:p>
            <w:pPr>
              <w:widowControl/>
              <w:snapToGrid w:val="0"/>
              <w:spacing w:line="400" w:lineRule="exact"/>
              <w:ind w:firstLine="481" w:firstLineChars="200"/>
              <w:jc w:val="left"/>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第七十六条</w:t>
            </w:r>
            <w:r>
              <w:rPr>
                <w:rFonts w:hint="eastAsia" w:ascii="仿宋_GB2312" w:hAnsi="仿宋" w:eastAsia="仿宋_GB2312" w:cs="仿宋"/>
                <w:color w:val="000000" w:themeColor="text1"/>
                <w:sz w:val="24"/>
                <w:szCs w:val="21"/>
              </w:rPr>
              <w:t>　违反本条例规定，符合代履行条件的，园林绿化部门可以依法委托专业单位代履行，所需费用由当事人承担。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41" w:hRule="atLeast"/>
          <w:jc w:val="center"/>
        </w:trPr>
        <w:tc>
          <w:tcPr>
            <w:tcW w:w="1771" w:type="dxa"/>
            <w:vMerge w:val="continue"/>
            <w:tcBorders>
              <w:tl2br w:val="nil"/>
              <w:tr2bl w:val="nil"/>
            </w:tcBorders>
            <w:vAlign w:val="center"/>
          </w:tcPr>
          <w:p>
            <w:pPr>
              <w:snapToGrid w:val="0"/>
              <w:jc w:val="center"/>
              <w:rPr>
                <w:rFonts w:ascii="宋体" w:hAnsi="宋体" w:eastAsia="宋体" w:cs="宋体"/>
                <w:color w:val="000000" w:themeColor="text1"/>
                <w:szCs w:val="21"/>
              </w:rPr>
            </w:pPr>
          </w:p>
        </w:tc>
        <w:tc>
          <w:tcPr>
            <w:tcW w:w="2016" w:type="dxa"/>
            <w:tcBorders>
              <w:tl2br w:val="nil"/>
              <w:tr2bl w:val="nil"/>
            </w:tcBorders>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（二）砍伐树木</w:t>
            </w:r>
          </w:p>
        </w:tc>
        <w:tc>
          <w:tcPr>
            <w:tcW w:w="1652" w:type="dxa"/>
            <w:tcBorders>
              <w:tl2br w:val="nil"/>
              <w:tr2bl w:val="nil"/>
            </w:tcBorders>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《北京市绿化条例》</w:t>
            </w:r>
          </w:p>
        </w:tc>
        <w:tc>
          <w:tcPr>
            <w:tcW w:w="8169" w:type="dxa"/>
            <w:tcBorders>
              <w:tl2br w:val="nil"/>
              <w:tr2bl w:val="nil"/>
            </w:tcBorders>
            <w:vAlign w:val="center"/>
          </w:tcPr>
          <w:p>
            <w:pPr>
              <w:widowControl/>
              <w:snapToGrid w:val="0"/>
              <w:spacing w:line="400" w:lineRule="exact"/>
              <w:ind w:firstLine="481" w:firstLineChars="200"/>
              <w:jc w:val="left"/>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第五十九条</w:t>
            </w:r>
            <w:r>
              <w:rPr>
                <w:rFonts w:hint="eastAsia" w:ascii="仿宋_GB2312" w:hAnsi="仿宋" w:eastAsia="仿宋_GB2312" w:cs="仿宋"/>
                <w:color w:val="000000" w:themeColor="text1"/>
                <w:sz w:val="24"/>
                <w:szCs w:val="21"/>
              </w:rPr>
              <w:t>　严格控制砍伐树木。符合下列情形之一的树木，经批准可以砍伐：</w:t>
            </w:r>
          </w:p>
          <w:p>
            <w:pPr>
              <w:widowControl/>
              <w:snapToGrid w:val="0"/>
              <w:spacing w:line="400" w:lineRule="exact"/>
              <w:ind w:firstLine="480" w:firstLineChars="200"/>
              <w:jc w:val="left"/>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（一）已经死亡的；</w:t>
            </w:r>
          </w:p>
          <w:p>
            <w:pPr>
              <w:widowControl/>
              <w:snapToGrid w:val="0"/>
              <w:spacing w:line="400" w:lineRule="exact"/>
              <w:ind w:firstLine="480" w:firstLineChars="200"/>
              <w:jc w:val="left"/>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（二）发生检疫性病虫害无保留价值或者发生其他严重病虫害的；</w:t>
            </w:r>
          </w:p>
          <w:p>
            <w:pPr>
              <w:widowControl/>
              <w:snapToGrid w:val="0"/>
              <w:spacing w:line="400" w:lineRule="exact"/>
              <w:ind w:firstLine="480" w:firstLineChars="200"/>
              <w:jc w:val="left"/>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（三）因抚育或者更新改造需要且无移植价值的；</w:t>
            </w:r>
          </w:p>
          <w:p>
            <w:pPr>
              <w:widowControl/>
              <w:snapToGrid w:val="0"/>
              <w:spacing w:line="400" w:lineRule="exact"/>
              <w:ind w:firstLine="480" w:firstLineChars="200"/>
              <w:jc w:val="left"/>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（四）因城市建设、居住安全和设施安全等特殊原因确需移植但无法移植或者无移植价值的。</w:t>
            </w:r>
          </w:p>
          <w:p>
            <w:pPr>
              <w:widowControl/>
              <w:snapToGrid w:val="0"/>
              <w:spacing w:line="400" w:lineRule="exact"/>
              <w:ind w:firstLine="480" w:firstLineChars="200"/>
              <w:jc w:val="left"/>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同一建设项目砍伐树木胸径小于30厘米并且不满20株的，由区园林绿化部门批准；砍伐树木胸径30厘米以上的，以及一次或者累计砍伐树木20株以上不满50株的，由市园林绿化部门批准；一次或者累计砍伐树木50株以上的，由市园林绿化部门报市人民政府批准。</w:t>
            </w:r>
          </w:p>
          <w:p>
            <w:pPr>
              <w:widowControl/>
              <w:snapToGrid w:val="0"/>
              <w:spacing w:line="400" w:lineRule="exact"/>
              <w:ind w:firstLine="480" w:firstLineChars="200"/>
              <w:jc w:val="left"/>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砍伐许可证应当在砍伐现场公示，接受公众监督。</w:t>
            </w:r>
          </w:p>
          <w:p>
            <w:pPr>
              <w:widowControl/>
              <w:snapToGrid w:val="0"/>
              <w:spacing w:line="400" w:lineRule="exact"/>
              <w:ind w:firstLine="481" w:firstLineChars="200"/>
              <w:jc w:val="left"/>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第七十条</w:t>
            </w:r>
            <w:r>
              <w:rPr>
                <w:rFonts w:hint="eastAsia" w:ascii="仿宋_GB2312" w:hAnsi="仿宋" w:eastAsia="仿宋_GB2312" w:cs="仿宋"/>
                <w:color w:val="000000" w:themeColor="text1"/>
                <w:sz w:val="24"/>
                <w:szCs w:val="21"/>
              </w:rPr>
              <w:t>　违反本条例第五十九条规定砍伐树木的，责令停止违法行为，并在规定地点补种砍伐株数10倍的树木，处所砍伐树木价值5至10倍的罚款。</w:t>
            </w:r>
          </w:p>
          <w:p>
            <w:pPr>
              <w:widowControl/>
              <w:snapToGrid w:val="0"/>
              <w:spacing w:line="400" w:lineRule="exact"/>
              <w:ind w:firstLine="480" w:firstLineChars="200"/>
              <w:jc w:val="left"/>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违反本条例第五十条第（六）项规定，未按照国家和本市有关规定截除树木主干、去除树冠的，依照前款规定处理。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56" w:hRule="atLeast"/>
          <w:jc w:val="center"/>
        </w:trPr>
        <w:tc>
          <w:tcPr>
            <w:tcW w:w="1771" w:type="dxa"/>
            <w:vMerge w:val="continue"/>
            <w:tcBorders>
              <w:tl2br w:val="nil"/>
              <w:tr2bl w:val="nil"/>
            </w:tcBorders>
            <w:vAlign w:val="center"/>
          </w:tcPr>
          <w:p>
            <w:pPr>
              <w:widowControl/>
              <w:snapToGrid w:val="0"/>
              <w:spacing w:line="360" w:lineRule="exact"/>
              <w:textAlignment w:val="center"/>
              <w:rPr>
                <w:rFonts w:ascii="仿宋_GB2312" w:hAnsi="仿宋" w:eastAsia="仿宋_GB2312" w:cs="仿宋"/>
                <w:color w:val="000000" w:themeColor="text1"/>
                <w:sz w:val="24"/>
                <w:szCs w:val="21"/>
              </w:rPr>
            </w:pPr>
          </w:p>
        </w:tc>
        <w:tc>
          <w:tcPr>
            <w:tcW w:w="2016" w:type="dxa"/>
            <w:tcBorders>
              <w:tl2br w:val="nil"/>
              <w:tr2bl w:val="nil"/>
            </w:tcBorders>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（三）改变绿地性质和用途</w:t>
            </w:r>
          </w:p>
        </w:tc>
        <w:tc>
          <w:tcPr>
            <w:tcW w:w="1652" w:type="dxa"/>
            <w:tcBorders>
              <w:tl2br w:val="nil"/>
              <w:tr2bl w:val="nil"/>
            </w:tcBorders>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《北京市绿化条例》</w:t>
            </w:r>
          </w:p>
        </w:tc>
        <w:tc>
          <w:tcPr>
            <w:tcW w:w="8169" w:type="dxa"/>
            <w:tcBorders>
              <w:tl2br w:val="nil"/>
              <w:tr2bl w:val="nil"/>
            </w:tcBorders>
            <w:vAlign w:val="center"/>
          </w:tcPr>
          <w:p>
            <w:pPr>
              <w:widowControl/>
              <w:snapToGrid w:val="0"/>
              <w:spacing w:line="400" w:lineRule="exact"/>
              <w:ind w:firstLine="481" w:firstLineChars="200"/>
              <w:jc w:val="left"/>
              <w:rPr>
                <w:rFonts w:ascii="仿宋_GB2312" w:hAnsi="仿宋" w:eastAsia="仿宋_GB2312" w:cs="仿宋"/>
                <w:b/>
                <w:color w:val="000000" w:themeColor="text1"/>
                <w:sz w:val="24"/>
                <w:szCs w:val="21"/>
              </w:rPr>
            </w:pPr>
          </w:p>
          <w:p>
            <w:pPr>
              <w:widowControl/>
              <w:snapToGrid w:val="0"/>
              <w:spacing w:line="400" w:lineRule="exact"/>
              <w:ind w:firstLine="481" w:firstLineChars="200"/>
              <w:jc w:val="left"/>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第五十七条</w:t>
            </w:r>
            <w:r>
              <w:rPr>
                <w:rFonts w:hint="eastAsia" w:ascii="仿宋_GB2312" w:hAnsi="仿宋" w:eastAsia="仿宋_GB2312" w:cs="仿宋"/>
                <w:color w:val="000000" w:themeColor="text1"/>
                <w:sz w:val="24"/>
                <w:szCs w:val="21"/>
              </w:rPr>
              <w:t>　任何单位和个人不得擅自改变绿地的性质和用途。中心城、新城、建制镇范围内，因基础设施建设等特殊原因需要改变公共绿地性质和用途的，应当经市人民政府批准。需要改变其他绿地性质和用途的，应当经市园林绿化部门审核、市规划自然资源部门批准。</w:t>
            </w:r>
          </w:p>
          <w:p>
            <w:pPr>
              <w:widowControl/>
              <w:snapToGrid w:val="0"/>
              <w:spacing w:line="400" w:lineRule="exact"/>
              <w:ind w:firstLine="481" w:firstLineChars="200"/>
              <w:jc w:val="left"/>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第六十八条</w:t>
            </w:r>
            <w:r>
              <w:rPr>
                <w:rFonts w:hint="eastAsia" w:ascii="仿宋_GB2312" w:hAnsi="仿宋" w:eastAsia="仿宋_GB2312" w:cs="仿宋"/>
                <w:color w:val="000000" w:themeColor="text1"/>
                <w:sz w:val="24"/>
                <w:szCs w:val="21"/>
              </w:rPr>
              <w:t>　违反本条例第五十七条或者第六十条规定，未经许可擅自改变绿地性质和用途或者临时占用绿地的，责令限期改正、恢复原状，并按照改变的面积处每平方米300元以上3000元以下罚款。</w:t>
            </w:r>
          </w:p>
          <w:p>
            <w:pPr>
              <w:pStyle w:val="2"/>
              <w:numPr>
                <w:ilvl w:val="0"/>
                <w:numId w:val="0"/>
              </w:numPr>
              <w:ind w:left="420"/>
              <w:rPr>
                <w:color w:val="000000" w:themeColor="text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92" w:hRule="atLeast"/>
          <w:jc w:val="center"/>
        </w:trPr>
        <w:tc>
          <w:tcPr>
            <w:tcW w:w="1771" w:type="dxa"/>
            <w:vMerge w:val="continue"/>
            <w:tcBorders>
              <w:tl2br w:val="nil"/>
              <w:tr2bl w:val="nil"/>
            </w:tcBorders>
            <w:vAlign w:val="center"/>
          </w:tcPr>
          <w:p>
            <w:pPr>
              <w:widowControl/>
              <w:snapToGrid w:val="0"/>
              <w:spacing w:line="360" w:lineRule="exact"/>
              <w:textAlignment w:val="center"/>
              <w:rPr>
                <w:rFonts w:ascii="仿宋_GB2312" w:hAnsi="仿宋" w:eastAsia="仿宋_GB2312" w:cs="仿宋"/>
                <w:color w:val="000000" w:themeColor="text1"/>
                <w:sz w:val="24"/>
                <w:szCs w:val="21"/>
              </w:rPr>
            </w:pPr>
          </w:p>
        </w:tc>
        <w:tc>
          <w:tcPr>
            <w:tcW w:w="2016" w:type="dxa"/>
            <w:tcBorders>
              <w:tl2br w:val="nil"/>
              <w:tr2bl w:val="nil"/>
            </w:tcBorders>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（四）移植树木</w:t>
            </w:r>
          </w:p>
        </w:tc>
        <w:tc>
          <w:tcPr>
            <w:tcW w:w="1652" w:type="dxa"/>
            <w:tcBorders>
              <w:tl2br w:val="nil"/>
              <w:tr2bl w:val="nil"/>
            </w:tcBorders>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《北京市绿化条例》</w:t>
            </w:r>
          </w:p>
        </w:tc>
        <w:tc>
          <w:tcPr>
            <w:tcW w:w="8169" w:type="dxa"/>
            <w:tcBorders>
              <w:tl2br w:val="nil"/>
              <w:tr2bl w:val="nil"/>
            </w:tcBorders>
            <w:vAlign w:val="center"/>
          </w:tcPr>
          <w:p>
            <w:pPr>
              <w:widowControl/>
              <w:snapToGrid w:val="0"/>
              <w:spacing w:line="400" w:lineRule="exact"/>
              <w:ind w:firstLine="481" w:firstLineChars="200"/>
              <w:jc w:val="left"/>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第五十八条</w:t>
            </w:r>
            <w:r>
              <w:rPr>
                <w:rFonts w:hint="eastAsia" w:ascii="仿宋_GB2312" w:hAnsi="仿宋" w:eastAsia="仿宋_GB2312" w:cs="仿宋"/>
                <w:color w:val="000000" w:themeColor="text1"/>
                <w:sz w:val="24"/>
                <w:szCs w:val="21"/>
              </w:rPr>
              <w:t>　严格限制移植树木。因城市建设、居住安全和设施安全等特殊原因确需移植树木的，应当经园林绿化部门批准。移植许可证应当在移植现场公示，接受公众监督。</w:t>
            </w:r>
          </w:p>
          <w:p>
            <w:pPr>
              <w:widowControl/>
              <w:snapToGrid w:val="0"/>
              <w:spacing w:line="400" w:lineRule="exact"/>
              <w:ind w:firstLine="481" w:firstLineChars="200"/>
              <w:jc w:val="left"/>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第六十九条</w:t>
            </w:r>
            <w:r>
              <w:rPr>
                <w:rFonts w:hint="eastAsia" w:ascii="仿宋_GB2312" w:hAnsi="仿宋" w:eastAsia="仿宋_GB2312" w:cs="仿宋"/>
                <w:color w:val="000000" w:themeColor="text1"/>
                <w:sz w:val="24"/>
                <w:szCs w:val="21"/>
              </w:rPr>
              <w:t>　违反本条例第五十八条规定移植树木的，责令限期改正；无法改正的，责令在规定地点补种移植株数5倍的树木，并可以处所移植树木价值3至5倍的罚款。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42" w:hRule="atLeast"/>
          <w:jc w:val="center"/>
        </w:trPr>
        <w:tc>
          <w:tcPr>
            <w:tcW w:w="1771" w:type="dxa"/>
            <w:vMerge w:val="continue"/>
            <w:tcBorders>
              <w:tl2br w:val="nil"/>
              <w:tr2bl w:val="nil"/>
            </w:tcBorders>
            <w:vAlign w:val="center"/>
          </w:tcPr>
          <w:p>
            <w:pPr>
              <w:snapToGrid w:val="0"/>
              <w:jc w:val="center"/>
              <w:rPr>
                <w:rFonts w:ascii="宋体" w:hAnsi="宋体" w:eastAsia="宋体" w:cs="宋体"/>
                <w:color w:val="000000" w:themeColor="text1"/>
                <w:szCs w:val="21"/>
              </w:rPr>
            </w:pPr>
          </w:p>
        </w:tc>
        <w:tc>
          <w:tcPr>
            <w:tcW w:w="2016" w:type="dxa"/>
            <w:tcBorders>
              <w:tl2br w:val="nil"/>
              <w:tr2bl w:val="nil"/>
            </w:tcBorders>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（五）绿地垃圾</w:t>
            </w:r>
          </w:p>
        </w:tc>
        <w:tc>
          <w:tcPr>
            <w:tcW w:w="1652" w:type="dxa"/>
            <w:tcBorders>
              <w:tl2br w:val="nil"/>
              <w:tr2bl w:val="nil"/>
            </w:tcBorders>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《北京市绿化条例》</w:t>
            </w:r>
          </w:p>
        </w:tc>
        <w:tc>
          <w:tcPr>
            <w:tcW w:w="8169" w:type="dxa"/>
            <w:tcBorders>
              <w:tl2br w:val="nil"/>
              <w:tr2bl w:val="nil"/>
            </w:tcBorders>
            <w:vAlign w:val="center"/>
          </w:tcPr>
          <w:p>
            <w:pPr>
              <w:widowControl/>
              <w:snapToGrid w:val="0"/>
              <w:spacing w:line="400" w:lineRule="exact"/>
              <w:ind w:firstLine="481" w:firstLineChars="200"/>
              <w:rPr>
                <w:rFonts w:ascii="仿宋_GB2312" w:hAnsi="仿宋" w:eastAsia="仿宋_GB2312" w:cs="仿宋"/>
                <w:b/>
                <w:color w:val="000000" w:themeColor="text1"/>
                <w:sz w:val="24"/>
                <w:szCs w:val="21"/>
              </w:rPr>
            </w:pPr>
          </w:p>
          <w:p>
            <w:pPr>
              <w:widowControl/>
              <w:snapToGrid w:val="0"/>
              <w:spacing w:line="400" w:lineRule="exact"/>
              <w:ind w:firstLine="481" w:firstLineChars="200"/>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第五十条</w:t>
            </w:r>
            <w:r>
              <w:rPr>
                <w:rFonts w:hint="eastAsia" w:ascii="仿宋_GB2312" w:hAnsi="仿宋" w:eastAsia="仿宋_GB2312" w:cs="仿宋"/>
                <w:color w:val="000000" w:themeColor="text1"/>
                <w:sz w:val="24"/>
                <w:szCs w:val="21"/>
              </w:rPr>
              <w:t>　禁止下列损害绿化的行为：</w:t>
            </w:r>
          </w:p>
          <w:p>
            <w:pPr>
              <w:widowControl/>
              <w:snapToGrid w:val="0"/>
              <w:spacing w:line="400" w:lineRule="exact"/>
              <w:ind w:firstLine="480" w:firstLineChars="200"/>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（一）在树木旁或者绿地内倾倒、排放污水、垃圾、渣土及其他废弃物；</w:t>
            </w:r>
          </w:p>
          <w:p>
            <w:pPr>
              <w:widowControl/>
              <w:snapToGrid w:val="0"/>
              <w:spacing w:line="400" w:lineRule="exact"/>
              <w:ind w:firstLine="481" w:firstLineChars="200"/>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第六十七条</w:t>
            </w:r>
            <w:r>
              <w:rPr>
                <w:rFonts w:hint="eastAsia" w:ascii="仿宋_GB2312" w:hAnsi="仿宋" w:eastAsia="仿宋_GB2312" w:cs="仿宋"/>
                <w:color w:val="000000" w:themeColor="text1"/>
                <w:sz w:val="24"/>
                <w:szCs w:val="21"/>
              </w:rPr>
              <w:t>　违反本条例第五十条第（一）项至第（五）项、第（七）项规定，损害绿化成果及绿化设施的，责令停止违法行为。情节较轻的，处20元以上50元以下罚款；情节严重的，处50元以上500元以下罚款。</w:t>
            </w:r>
          </w:p>
          <w:p>
            <w:pPr>
              <w:pStyle w:val="2"/>
              <w:numPr>
                <w:ilvl w:val="0"/>
                <w:numId w:val="0"/>
              </w:numPr>
              <w:ind w:firstLine="420"/>
              <w:rPr>
                <w:color w:val="000000" w:themeColor="text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42" w:hRule="atLeast"/>
          <w:jc w:val="center"/>
        </w:trPr>
        <w:tc>
          <w:tcPr>
            <w:tcW w:w="1771" w:type="dxa"/>
            <w:vMerge w:val="continue"/>
            <w:tcBorders>
              <w:tl2br w:val="nil"/>
              <w:tr2bl w:val="nil"/>
            </w:tcBorders>
            <w:vAlign w:val="center"/>
          </w:tcPr>
          <w:p>
            <w:pPr>
              <w:snapToGrid w:val="0"/>
              <w:jc w:val="center"/>
              <w:rPr>
                <w:rFonts w:ascii="宋体" w:hAnsi="宋体" w:eastAsia="宋体" w:cs="宋体"/>
                <w:color w:val="000000" w:themeColor="text1"/>
                <w:szCs w:val="21"/>
              </w:rPr>
            </w:pPr>
          </w:p>
        </w:tc>
        <w:tc>
          <w:tcPr>
            <w:tcW w:w="2016" w:type="dxa"/>
            <w:tcBorders>
              <w:tl2br w:val="nil"/>
              <w:tr2bl w:val="nil"/>
            </w:tcBorders>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（六）绿植悬挂其他物品</w:t>
            </w:r>
          </w:p>
        </w:tc>
        <w:tc>
          <w:tcPr>
            <w:tcW w:w="1652" w:type="dxa"/>
            <w:tcBorders>
              <w:tl2br w:val="nil"/>
              <w:tr2bl w:val="nil"/>
            </w:tcBorders>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《北京市绿化条例》</w:t>
            </w:r>
          </w:p>
        </w:tc>
        <w:tc>
          <w:tcPr>
            <w:tcW w:w="8169" w:type="dxa"/>
            <w:tcBorders>
              <w:tl2br w:val="nil"/>
              <w:tr2bl w:val="nil"/>
            </w:tcBorders>
            <w:vAlign w:val="center"/>
          </w:tcPr>
          <w:p>
            <w:pPr>
              <w:widowControl/>
              <w:snapToGrid w:val="0"/>
              <w:spacing w:line="400" w:lineRule="exact"/>
              <w:ind w:firstLine="481" w:firstLineChars="200"/>
              <w:jc w:val="left"/>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第五十条</w:t>
            </w:r>
            <w:r>
              <w:rPr>
                <w:rFonts w:hint="eastAsia" w:ascii="仿宋_GB2312" w:hAnsi="仿宋" w:eastAsia="仿宋_GB2312" w:cs="仿宋"/>
                <w:color w:val="000000" w:themeColor="text1"/>
                <w:sz w:val="24"/>
                <w:szCs w:val="21"/>
              </w:rPr>
              <w:t>　禁止下列损害绿化的行为：</w:t>
            </w:r>
          </w:p>
          <w:p>
            <w:pPr>
              <w:widowControl/>
              <w:snapToGrid w:val="0"/>
              <w:spacing w:line="400" w:lineRule="exact"/>
              <w:ind w:firstLine="480" w:firstLineChars="200"/>
              <w:jc w:val="left"/>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（三）在树木或者绿化设施上悬挂广告牌或者其他物品；</w:t>
            </w:r>
          </w:p>
          <w:p>
            <w:pPr>
              <w:widowControl/>
              <w:snapToGrid w:val="0"/>
              <w:spacing w:line="400" w:lineRule="exact"/>
              <w:ind w:firstLine="481" w:firstLineChars="200"/>
              <w:jc w:val="left"/>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第六十七条</w:t>
            </w:r>
            <w:r>
              <w:rPr>
                <w:rFonts w:hint="eastAsia" w:ascii="仿宋_GB2312" w:hAnsi="仿宋" w:eastAsia="仿宋_GB2312" w:cs="仿宋"/>
                <w:color w:val="000000" w:themeColor="text1"/>
                <w:sz w:val="24"/>
                <w:szCs w:val="21"/>
              </w:rPr>
              <w:t>　违反本条例第五十条第（一）项至第（五）项、第（七）项规定，损害绿化成果及绿化设施的，责令停止违法行为。情节较轻的，处20元以上50元以下罚款；情节严重的，处50元以上500元以下罚款。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71" w:hRule="atLeast"/>
          <w:jc w:val="center"/>
        </w:trPr>
        <w:tc>
          <w:tcPr>
            <w:tcW w:w="1771" w:type="dxa"/>
            <w:vMerge w:val="continue"/>
            <w:tcBorders>
              <w:tl2br w:val="nil"/>
              <w:tr2bl w:val="nil"/>
            </w:tcBorders>
            <w:vAlign w:val="center"/>
          </w:tcPr>
          <w:p>
            <w:pPr>
              <w:widowControl/>
              <w:snapToGrid w:val="0"/>
              <w:spacing w:line="360" w:lineRule="exact"/>
              <w:textAlignment w:val="center"/>
              <w:rPr>
                <w:rFonts w:ascii="仿宋_GB2312" w:hAnsi="仿宋" w:eastAsia="仿宋_GB2312" w:cs="仿宋"/>
                <w:color w:val="000000" w:themeColor="text1"/>
                <w:sz w:val="24"/>
                <w:szCs w:val="21"/>
              </w:rPr>
            </w:pPr>
          </w:p>
        </w:tc>
        <w:tc>
          <w:tcPr>
            <w:tcW w:w="2016" w:type="dxa"/>
            <w:tcBorders>
              <w:tl2br w:val="nil"/>
              <w:tr2bl w:val="nil"/>
            </w:tcBorders>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（七）损害绿化</w:t>
            </w:r>
          </w:p>
        </w:tc>
        <w:tc>
          <w:tcPr>
            <w:tcW w:w="1652" w:type="dxa"/>
            <w:tcBorders>
              <w:tl2br w:val="nil"/>
              <w:tr2bl w:val="nil"/>
            </w:tcBorders>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《北京市绿化条例》</w:t>
            </w:r>
          </w:p>
        </w:tc>
        <w:tc>
          <w:tcPr>
            <w:tcW w:w="8169" w:type="dxa"/>
            <w:tcBorders>
              <w:tl2br w:val="nil"/>
              <w:tr2bl w:val="nil"/>
            </w:tcBorders>
            <w:vAlign w:val="center"/>
          </w:tcPr>
          <w:p>
            <w:pPr>
              <w:widowControl/>
              <w:snapToGrid w:val="0"/>
              <w:spacing w:line="400" w:lineRule="exact"/>
              <w:ind w:firstLine="481" w:firstLineChars="200"/>
              <w:jc w:val="left"/>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第五十条</w:t>
            </w:r>
            <w:r>
              <w:rPr>
                <w:rFonts w:hint="eastAsia" w:ascii="仿宋_GB2312" w:hAnsi="仿宋" w:eastAsia="仿宋_GB2312" w:cs="仿宋"/>
                <w:color w:val="000000" w:themeColor="text1"/>
                <w:sz w:val="24"/>
                <w:szCs w:val="21"/>
              </w:rPr>
              <w:t>　禁止下列损害绿化的行为：</w:t>
            </w:r>
          </w:p>
          <w:p>
            <w:pPr>
              <w:widowControl/>
              <w:snapToGrid w:val="0"/>
              <w:spacing w:line="400" w:lineRule="exact"/>
              <w:ind w:firstLine="480" w:firstLineChars="200"/>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（二）损毁树木、花草及绿化设施；</w:t>
            </w:r>
          </w:p>
          <w:p>
            <w:pPr>
              <w:widowControl/>
              <w:snapToGrid w:val="0"/>
              <w:spacing w:line="400" w:lineRule="exact"/>
              <w:ind w:firstLine="480" w:firstLineChars="200"/>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（四）在绿地内取土、搭建构筑物；</w:t>
            </w:r>
          </w:p>
          <w:p>
            <w:pPr>
              <w:widowControl/>
              <w:snapToGrid w:val="0"/>
              <w:spacing w:line="400" w:lineRule="exact"/>
              <w:ind w:firstLine="480" w:firstLineChars="200"/>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（五）在绿地内用火、烧烤；</w:t>
            </w:r>
          </w:p>
          <w:p>
            <w:pPr>
              <w:widowControl/>
              <w:snapToGrid w:val="0"/>
              <w:spacing w:line="400" w:lineRule="exact"/>
              <w:ind w:firstLine="480" w:firstLineChars="200"/>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（六）违反国家和本市有关规定截除树木主干、去除树冠；</w:t>
            </w:r>
          </w:p>
          <w:p>
            <w:pPr>
              <w:widowControl/>
              <w:snapToGrid w:val="0"/>
              <w:spacing w:line="400" w:lineRule="exact"/>
              <w:ind w:firstLine="480" w:firstLineChars="200"/>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（七）其他损害绿化成果及绿化设施的行为。</w:t>
            </w:r>
          </w:p>
          <w:p>
            <w:pPr>
              <w:widowControl/>
              <w:snapToGrid w:val="0"/>
              <w:spacing w:line="400" w:lineRule="exact"/>
              <w:ind w:firstLine="481" w:firstLineChars="200"/>
              <w:jc w:val="left"/>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第六十七条</w:t>
            </w:r>
            <w:r>
              <w:rPr>
                <w:rFonts w:hint="eastAsia" w:ascii="仿宋_GB2312" w:hAnsi="仿宋" w:eastAsia="仿宋_GB2312" w:cs="仿宋"/>
                <w:color w:val="000000" w:themeColor="text1"/>
                <w:sz w:val="24"/>
                <w:szCs w:val="21"/>
              </w:rPr>
              <w:t>　违反本条例第五十条第（一）项至第（五）项、第（七）项规定，损害绿化成果及绿化设施的，责令停止违法行为。情节较轻的，处20元以上50元以下罚款；情节严重的，处50元以上500元以下罚款。</w:t>
            </w:r>
          </w:p>
        </w:tc>
      </w:tr>
    </w:tbl>
    <w:p>
      <w:pPr>
        <w:rPr>
          <w:color w:val="000000" w:themeColor="text1"/>
        </w:rPr>
      </w:pPr>
    </w:p>
    <w:tbl>
      <w:tblPr>
        <w:tblStyle w:val="26"/>
        <w:tblW w:w="1433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213"/>
        <w:gridCol w:w="1812"/>
        <w:gridCol w:w="1800"/>
        <w:gridCol w:w="850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8" w:hRule="atLeast"/>
          <w:tblHeader/>
          <w:jc w:val="center"/>
        </w:trPr>
        <w:tc>
          <w:tcPr>
            <w:tcW w:w="14331" w:type="dxa"/>
            <w:gridSpan w:val="4"/>
            <w:tcBorders>
              <w:tl2br w:val="nil"/>
              <w:tr2bl w:val="nil"/>
            </w:tcBorders>
            <w:vAlign w:val="center"/>
          </w:tcPr>
          <w:p>
            <w:pPr>
              <w:pStyle w:val="5"/>
              <w:jc w:val="center"/>
              <w:rPr>
                <w:rFonts w:ascii="黑体" w:hAnsi="黑体" w:eastAsia="黑体" w:cs="黑体"/>
                <w:color w:val="000000" w:themeColor="text1"/>
                <w:szCs w:val="21"/>
              </w:rPr>
            </w:pPr>
            <w:bookmarkStart w:id="174" w:name="_Toc150435296"/>
            <w:r>
              <w:rPr>
                <w:rFonts w:hint="eastAsia"/>
                <w:color w:val="000000" w:themeColor="text1"/>
              </w:rPr>
              <w:t>垃圾管理方面</w:t>
            </w:r>
            <w:bookmarkEnd w:id="174"/>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5" w:hRule="atLeast"/>
          <w:tblHeader/>
          <w:jc w:val="center"/>
        </w:trPr>
        <w:tc>
          <w:tcPr>
            <w:tcW w:w="2213" w:type="dxa"/>
            <w:tcBorders>
              <w:tl2br w:val="nil"/>
              <w:tr2bl w:val="nil"/>
            </w:tcBorders>
            <w:vAlign w:val="center"/>
          </w:tcPr>
          <w:p>
            <w:pPr>
              <w:widowControl/>
              <w:snapToGrid w:val="0"/>
              <w:spacing w:line="360" w:lineRule="exact"/>
              <w:jc w:val="center"/>
              <w:textAlignment w:val="center"/>
              <w:rPr>
                <w:rFonts w:ascii="黑体" w:hAnsi="黑体" w:eastAsia="黑体" w:cs="黑体"/>
                <w:color w:val="000000" w:themeColor="text1"/>
                <w:szCs w:val="21"/>
              </w:rPr>
            </w:pPr>
            <w:r>
              <w:rPr>
                <w:rFonts w:hint="eastAsia" w:ascii="黑体" w:hAnsi="黑体" w:eastAsia="黑体" w:cs="黑体"/>
                <w:color w:val="000000" w:themeColor="text1"/>
                <w:szCs w:val="21"/>
              </w:rPr>
              <w:t>监管内容</w:t>
            </w:r>
          </w:p>
        </w:tc>
        <w:tc>
          <w:tcPr>
            <w:tcW w:w="1812" w:type="dxa"/>
            <w:tcBorders>
              <w:tl2br w:val="nil"/>
              <w:tr2bl w:val="nil"/>
            </w:tcBorders>
            <w:vAlign w:val="center"/>
          </w:tcPr>
          <w:p>
            <w:pPr>
              <w:widowControl/>
              <w:snapToGrid w:val="0"/>
              <w:spacing w:line="360" w:lineRule="exact"/>
              <w:jc w:val="center"/>
              <w:textAlignment w:val="center"/>
              <w:rPr>
                <w:rFonts w:ascii="黑体" w:hAnsi="黑体" w:eastAsia="黑体" w:cs="黑体"/>
                <w:color w:val="000000" w:themeColor="text1"/>
                <w:szCs w:val="21"/>
              </w:rPr>
            </w:pPr>
            <w:r>
              <w:rPr>
                <w:rFonts w:hint="eastAsia" w:ascii="黑体" w:hAnsi="黑体" w:eastAsia="黑体" w:cs="黑体"/>
                <w:color w:val="000000" w:themeColor="text1"/>
                <w:szCs w:val="21"/>
              </w:rPr>
              <w:t>监管事项</w:t>
            </w:r>
          </w:p>
        </w:tc>
        <w:tc>
          <w:tcPr>
            <w:tcW w:w="1800" w:type="dxa"/>
            <w:tcBorders>
              <w:tl2br w:val="nil"/>
              <w:tr2bl w:val="nil"/>
            </w:tcBorders>
            <w:vAlign w:val="center"/>
          </w:tcPr>
          <w:p>
            <w:pPr>
              <w:widowControl/>
              <w:snapToGrid w:val="0"/>
              <w:spacing w:line="360" w:lineRule="exact"/>
              <w:jc w:val="center"/>
              <w:textAlignment w:val="center"/>
              <w:rPr>
                <w:rFonts w:ascii="黑体" w:hAnsi="黑体" w:eastAsia="黑体" w:cs="黑体"/>
                <w:color w:val="000000" w:themeColor="text1"/>
                <w:szCs w:val="21"/>
              </w:rPr>
            </w:pPr>
            <w:r>
              <w:rPr>
                <w:rFonts w:hint="eastAsia" w:ascii="黑体" w:hAnsi="黑体" w:eastAsia="黑体" w:cs="黑体"/>
                <w:color w:val="000000" w:themeColor="text1"/>
                <w:szCs w:val="21"/>
              </w:rPr>
              <w:t>监管依据</w:t>
            </w:r>
          </w:p>
        </w:tc>
        <w:tc>
          <w:tcPr>
            <w:tcW w:w="8506" w:type="dxa"/>
            <w:tcBorders>
              <w:tl2br w:val="nil"/>
              <w:tr2bl w:val="nil"/>
            </w:tcBorders>
            <w:vAlign w:val="center"/>
          </w:tcPr>
          <w:p>
            <w:pPr>
              <w:widowControl/>
              <w:snapToGrid w:val="0"/>
              <w:spacing w:line="360" w:lineRule="exact"/>
              <w:jc w:val="center"/>
              <w:textAlignment w:val="center"/>
              <w:rPr>
                <w:rFonts w:ascii="黑体" w:hAnsi="黑体" w:eastAsia="黑体" w:cs="黑体"/>
                <w:color w:val="000000" w:themeColor="text1"/>
                <w:szCs w:val="21"/>
              </w:rPr>
            </w:pPr>
            <w:r>
              <w:rPr>
                <w:rFonts w:hint="eastAsia" w:ascii="黑体" w:hAnsi="黑体" w:eastAsia="黑体" w:cs="黑体"/>
                <w:color w:val="000000" w:themeColor="text1"/>
                <w:szCs w:val="21"/>
              </w:rPr>
              <w:t>监管规则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32" w:hRule="atLeast"/>
          <w:jc w:val="center"/>
        </w:trPr>
        <w:tc>
          <w:tcPr>
            <w:tcW w:w="2213" w:type="dxa"/>
            <w:vMerge w:val="restart"/>
            <w:tcBorders>
              <w:tl2br w:val="nil"/>
              <w:tr2bl w:val="nil"/>
            </w:tcBorders>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一、生活垃圾</w:t>
            </w:r>
          </w:p>
        </w:tc>
        <w:tc>
          <w:tcPr>
            <w:tcW w:w="1812" w:type="dxa"/>
            <w:tcBorders>
              <w:tl2br w:val="nil"/>
              <w:tr2bl w:val="nil"/>
            </w:tcBorders>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（一）倾倒垃圾</w:t>
            </w:r>
          </w:p>
        </w:tc>
        <w:tc>
          <w:tcPr>
            <w:tcW w:w="1800" w:type="dxa"/>
            <w:tcBorders>
              <w:tl2br w:val="nil"/>
              <w:tr2bl w:val="nil"/>
            </w:tcBorders>
            <w:shd w:val="clear" w:color="auto" w:fill="auto"/>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《中华人民共和国固体废物污染环境防治法》</w:t>
            </w:r>
          </w:p>
        </w:tc>
        <w:tc>
          <w:tcPr>
            <w:tcW w:w="8506" w:type="dxa"/>
            <w:tcBorders>
              <w:tl2br w:val="nil"/>
              <w:tr2bl w:val="nil"/>
            </w:tcBorders>
            <w:vAlign w:val="center"/>
          </w:tcPr>
          <w:p>
            <w:pPr>
              <w:widowControl/>
              <w:shd w:val="clear" w:color="auto" w:fill="FFFFFF"/>
              <w:spacing w:line="400" w:lineRule="exact"/>
              <w:ind w:firstLine="481" w:firstLineChars="200"/>
              <w:jc w:val="left"/>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第四十九条</w:t>
            </w:r>
            <w:r>
              <w:rPr>
                <w:rFonts w:hint="eastAsia" w:ascii="仿宋_GB2312" w:hAnsi="仿宋" w:eastAsia="仿宋_GB2312" w:cs="仿宋"/>
                <w:color w:val="000000" w:themeColor="text1"/>
                <w:sz w:val="24"/>
                <w:szCs w:val="21"/>
              </w:rPr>
              <w:t>　产生生活垃圾的单位、家庭和个人应当依法履行生活垃圾源头减量和分类投放义务，承担生活垃圾产生者责任。</w:t>
            </w:r>
          </w:p>
          <w:p>
            <w:pPr>
              <w:widowControl/>
              <w:shd w:val="clear" w:color="auto" w:fill="FFFFFF"/>
              <w:spacing w:line="400" w:lineRule="exact"/>
              <w:ind w:firstLine="480" w:firstLineChars="200"/>
              <w:jc w:val="left"/>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任何单位和个人都应当依法在指定的地点分类投放生活垃圾。禁止随意倾倒、抛撒、堆放或者焚烧生活垃圾。</w:t>
            </w:r>
          </w:p>
          <w:p>
            <w:pPr>
              <w:widowControl/>
              <w:shd w:val="clear" w:color="auto" w:fill="FFFFFF"/>
              <w:spacing w:line="400" w:lineRule="exact"/>
              <w:ind w:firstLine="480" w:firstLineChars="200"/>
              <w:jc w:val="left"/>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机关、事业单位等应当在生活垃圾分类工作中起示范带头作用。</w:t>
            </w:r>
          </w:p>
          <w:p>
            <w:pPr>
              <w:widowControl/>
              <w:shd w:val="clear" w:color="auto" w:fill="FFFFFF"/>
              <w:spacing w:line="400" w:lineRule="exact"/>
              <w:ind w:firstLine="480" w:firstLineChars="200"/>
              <w:jc w:val="left"/>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已经分类投放的生活垃圾，应当按照规定分类收集、分类运输、分类处理。</w:t>
            </w:r>
          </w:p>
          <w:p>
            <w:pPr>
              <w:pStyle w:val="23"/>
              <w:shd w:val="clear" w:color="auto" w:fill="FFFFFF"/>
              <w:spacing w:before="0" w:beforeAutospacing="0" w:after="0" w:afterAutospacing="0" w:line="400" w:lineRule="exact"/>
              <w:ind w:firstLine="481" w:firstLineChars="200"/>
              <w:rPr>
                <w:rFonts w:ascii="仿宋_GB2312" w:hAnsi="仿宋" w:eastAsia="仿宋_GB2312" w:cs="仿宋"/>
                <w:color w:val="000000" w:themeColor="text1"/>
                <w:kern w:val="2"/>
                <w:szCs w:val="21"/>
              </w:rPr>
            </w:pPr>
            <w:r>
              <w:rPr>
                <w:rFonts w:hint="eastAsia" w:ascii="仿宋_GB2312" w:hAnsi="仿宋" w:eastAsia="仿宋_GB2312" w:cs="仿宋"/>
                <w:b/>
                <w:color w:val="000000" w:themeColor="text1"/>
                <w:kern w:val="2"/>
                <w:szCs w:val="21"/>
              </w:rPr>
              <w:t>第一百一十一条第一款</w:t>
            </w:r>
            <w:r>
              <w:rPr>
                <w:rFonts w:hint="eastAsia" w:ascii="仿宋_GB2312" w:hAnsi="仿宋" w:eastAsia="仿宋_GB2312" w:cs="仿宋"/>
                <w:color w:val="000000" w:themeColor="text1"/>
                <w:kern w:val="2"/>
                <w:szCs w:val="21"/>
              </w:rPr>
              <w:t>　违反本法规定，有下列行为之一，由县级以上地方人民政府环境卫生主管部门责令改正，处以罚款，没收违法所得：</w:t>
            </w:r>
          </w:p>
          <w:p>
            <w:pPr>
              <w:pStyle w:val="23"/>
              <w:shd w:val="clear" w:color="auto" w:fill="FFFFFF"/>
              <w:spacing w:before="0" w:beforeAutospacing="0" w:after="0" w:afterAutospacing="0" w:line="400" w:lineRule="exact"/>
              <w:ind w:firstLine="480" w:firstLineChars="200"/>
              <w:rPr>
                <w:rFonts w:ascii="仿宋_GB2312" w:hAnsi="仿宋" w:eastAsia="仿宋_GB2312" w:cs="仿宋"/>
                <w:color w:val="000000" w:themeColor="text1"/>
                <w:kern w:val="2"/>
                <w:szCs w:val="21"/>
              </w:rPr>
            </w:pPr>
            <w:r>
              <w:rPr>
                <w:rFonts w:hint="eastAsia" w:ascii="仿宋_GB2312" w:hAnsi="仿宋" w:eastAsia="仿宋_GB2312" w:cs="仿宋"/>
                <w:color w:val="000000" w:themeColor="text1"/>
                <w:kern w:val="2"/>
                <w:szCs w:val="21"/>
              </w:rPr>
              <w:t>（一）随意倾倒、抛撒、堆放或者焚烧生活垃圾的。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7" w:hRule="atLeast"/>
          <w:jc w:val="center"/>
        </w:trPr>
        <w:tc>
          <w:tcPr>
            <w:tcW w:w="2213" w:type="dxa"/>
            <w:vMerge w:val="continue"/>
            <w:tcBorders>
              <w:tl2br w:val="nil"/>
              <w:tr2bl w:val="nil"/>
            </w:tcBorders>
            <w:vAlign w:val="center"/>
          </w:tcPr>
          <w:p>
            <w:pPr>
              <w:widowControl/>
              <w:snapToGrid w:val="0"/>
              <w:spacing w:line="360" w:lineRule="exact"/>
              <w:textAlignment w:val="center"/>
              <w:rPr>
                <w:rFonts w:ascii="仿宋_GB2312" w:hAnsi="仿宋" w:eastAsia="仿宋_GB2312" w:cs="仿宋"/>
                <w:color w:val="000000" w:themeColor="text1"/>
                <w:sz w:val="24"/>
                <w:szCs w:val="21"/>
              </w:rPr>
            </w:pPr>
          </w:p>
        </w:tc>
        <w:tc>
          <w:tcPr>
            <w:tcW w:w="1812" w:type="dxa"/>
            <w:tcBorders>
              <w:tl2br w:val="nil"/>
              <w:tr2bl w:val="nil"/>
            </w:tcBorders>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（二）垃圾设施</w:t>
            </w:r>
          </w:p>
        </w:tc>
        <w:tc>
          <w:tcPr>
            <w:tcW w:w="1800" w:type="dxa"/>
            <w:tcBorders>
              <w:tl2br w:val="nil"/>
              <w:tr2bl w:val="nil"/>
            </w:tcBorders>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《中华人民共和国固体废物污染环境防治法》</w:t>
            </w:r>
          </w:p>
        </w:tc>
        <w:tc>
          <w:tcPr>
            <w:tcW w:w="8506" w:type="dxa"/>
            <w:tcBorders>
              <w:tl2br w:val="nil"/>
              <w:tr2bl w:val="nil"/>
            </w:tcBorders>
            <w:vAlign w:val="center"/>
          </w:tcPr>
          <w:p>
            <w:pPr>
              <w:widowControl/>
              <w:shd w:val="clear" w:color="auto" w:fill="FFFFFF"/>
              <w:spacing w:line="400" w:lineRule="exact"/>
              <w:ind w:firstLine="481" w:firstLineChars="200"/>
              <w:jc w:val="left"/>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第五十五条</w:t>
            </w:r>
            <w:r>
              <w:rPr>
                <w:rFonts w:hint="eastAsia" w:ascii="仿宋_GB2312" w:hAnsi="仿宋" w:eastAsia="仿宋_GB2312" w:cs="仿宋"/>
                <w:color w:val="000000" w:themeColor="text1"/>
                <w:sz w:val="24"/>
                <w:szCs w:val="21"/>
              </w:rPr>
              <w:t>　建设生活垃圾处理设施、场所，应当符合国务院生态环境主管部门和国务院住房城乡建设主管部门规定的环境保护和环境卫生标准。</w:t>
            </w:r>
          </w:p>
          <w:p>
            <w:pPr>
              <w:widowControl/>
              <w:shd w:val="clear" w:color="auto" w:fill="FFFFFF"/>
              <w:spacing w:line="400" w:lineRule="exact"/>
              <w:ind w:firstLine="480" w:firstLineChars="200"/>
              <w:jc w:val="left"/>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鼓励相邻地区统筹生活垃圾处理设施建设，促进生活垃圾处理设施跨行政区域共建共享。</w:t>
            </w:r>
          </w:p>
          <w:p>
            <w:pPr>
              <w:widowControl/>
              <w:shd w:val="clear" w:color="auto" w:fill="FFFFFF"/>
              <w:spacing w:line="400" w:lineRule="exact"/>
              <w:ind w:firstLine="480" w:firstLineChars="200"/>
              <w:jc w:val="left"/>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禁止擅自关闭、闲置或者拆除生活垃圾处理设施、场所；确有必要关闭、闲置或者拆除的，应当经所在地的市、县级人民政府环境卫生主管部门商所在地生态环境主管部门同意后核准，并采取防止污染环境的措施。</w:t>
            </w:r>
          </w:p>
          <w:p>
            <w:pPr>
              <w:widowControl/>
              <w:shd w:val="clear" w:color="auto" w:fill="FFFFFF"/>
              <w:spacing w:line="400" w:lineRule="exact"/>
              <w:ind w:firstLine="481" w:firstLineChars="200"/>
              <w:jc w:val="left"/>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第一百一十一条第二款</w:t>
            </w:r>
            <w:r>
              <w:rPr>
                <w:rFonts w:hint="eastAsia" w:ascii="仿宋_GB2312" w:hAnsi="仿宋" w:eastAsia="仿宋_GB2312" w:cs="仿宋"/>
                <w:color w:val="000000" w:themeColor="text1"/>
                <w:sz w:val="24"/>
                <w:szCs w:val="21"/>
              </w:rPr>
              <w:t>　违反本法规定，有下列行为之一，由县级以上地方人民政府环境卫生主管部门责令改正，处以罚款，没收违法所得：</w:t>
            </w:r>
          </w:p>
          <w:p>
            <w:pPr>
              <w:widowControl/>
              <w:shd w:val="clear" w:color="auto" w:fill="FFFFFF"/>
              <w:spacing w:line="400" w:lineRule="exact"/>
              <w:ind w:firstLine="480" w:firstLineChars="200"/>
              <w:jc w:val="left"/>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（二）擅自关闭、闲置或者拆除生活垃圾处理设施、场所的。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18" w:hRule="atLeast"/>
          <w:jc w:val="center"/>
        </w:trPr>
        <w:tc>
          <w:tcPr>
            <w:tcW w:w="2213" w:type="dxa"/>
            <w:vMerge w:val="continue"/>
            <w:tcBorders>
              <w:tl2br w:val="nil"/>
              <w:tr2bl w:val="nil"/>
            </w:tcBorders>
            <w:vAlign w:val="center"/>
          </w:tcPr>
          <w:p>
            <w:pPr>
              <w:snapToGrid w:val="0"/>
              <w:jc w:val="center"/>
              <w:rPr>
                <w:rFonts w:ascii="宋体" w:hAnsi="宋体" w:cs="宋体"/>
                <w:color w:val="000000" w:themeColor="text1"/>
                <w:szCs w:val="21"/>
              </w:rPr>
            </w:pPr>
          </w:p>
        </w:tc>
        <w:tc>
          <w:tcPr>
            <w:tcW w:w="1812" w:type="dxa"/>
            <w:tcBorders>
              <w:tl2br w:val="nil"/>
              <w:tr2bl w:val="nil"/>
            </w:tcBorders>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（三）乱倒垃圾</w:t>
            </w:r>
          </w:p>
        </w:tc>
        <w:tc>
          <w:tcPr>
            <w:tcW w:w="1800" w:type="dxa"/>
            <w:tcBorders>
              <w:tl2br w:val="nil"/>
              <w:tr2bl w:val="nil"/>
            </w:tcBorders>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《北京市市容环境卫生条例》</w:t>
            </w:r>
          </w:p>
        </w:tc>
        <w:tc>
          <w:tcPr>
            <w:tcW w:w="8506" w:type="dxa"/>
            <w:tcBorders>
              <w:tl2br w:val="nil"/>
              <w:tr2bl w:val="nil"/>
            </w:tcBorders>
            <w:vAlign w:val="center"/>
          </w:tcPr>
          <w:p>
            <w:pPr>
              <w:widowControl/>
              <w:shd w:val="clear" w:color="auto" w:fill="FFFFFF"/>
              <w:spacing w:line="400" w:lineRule="exact"/>
              <w:ind w:left="420" w:leftChars="200"/>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第五十二条</w:t>
            </w:r>
            <w:r>
              <w:rPr>
                <w:rFonts w:hint="eastAsia" w:ascii="仿宋_GB2312" w:hAnsi="仿宋" w:eastAsia="仿宋_GB2312" w:cs="仿宋"/>
                <w:color w:val="000000" w:themeColor="text1"/>
                <w:sz w:val="24"/>
                <w:szCs w:val="21"/>
              </w:rPr>
              <w:t>　在公共场所禁止下列影响市容环境卫生的行为：</w:t>
            </w:r>
            <w:r>
              <w:rPr>
                <w:rFonts w:hint="eastAsia" w:ascii="仿宋_GB2312" w:hAnsi="仿宋" w:eastAsia="仿宋_GB2312" w:cs="仿宋"/>
                <w:color w:val="000000" w:themeColor="text1"/>
                <w:sz w:val="24"/>
                <w:szCs w:val="21"/>
              </w:rPr>
              <w:br w:type="textWrapping"/>
            </w:r>
            <w:r>
              <w:rPr>
                <w:rFonts w:hint="eastAsia" w:ascii="仿宋_GB2312" w:hAnsi="仿宋" w:eastAsia="仿宋_GB2312" w:cs="仿宋"/>
                <w:color w:val="000000" w:themeColor="text1"/>
                <w:sz w:val="24"/>
                <w:szCs w:val="21"/>
              </w:rPr>
              <w:t>（一）随地吐痰、便溺；</w:t>
            </w:r>
            <w:r>
              <w:rPr>
                <w:rFonts w:hint="eastAsia" w:ascii="仿宋_GB2312" w:hAnsi="仿宋" w:eastAsia="仿宋_GB2312" w:cs="仿宋"/>
                <w:color w:val="000000" w:themeColor="text1"/>
                <w:sz w:val="24"/>
                <w:szCs w:val="21"/>
              </w:rPr>
              <w:br w:type="textWrapping"/>
            </w:r>
            <w:r>
              <w:rPr>
                <w:rFonts w:hint="eastAsia" w:ascii="仿宋_GB2312" w:hAnsi="仿宋" w:eastAsia="仿宋_GB2312" w:cs="仿宋"/>
                <w:color w:val="000000" w:themeColor="text1"/>
                <w:sz w:val="24"/>
                <w:szCs w:val="21"/>
              </w:rPr>
              <w:t>（二）乱丢瓜果皮核、烟头、纸屑、口香糖、塑料袋、包装物等废弃物；</w:t>
            </w:r>
            <w:r>
              <w:rPr>
                <w:rFonts w:hint="eastAsia" w:ascii="仿宋_GB2312" w:hAnsi="仿宋" w:eastAsia="仿宋_GB2312" w:cs="仿宋"/>
                <w:color w:val="000000" w:themeColor="text1"/>
                <w:sz w:val="24"/>
                <w:szCs w:val="21"/>
              </w:rPr>
              <w:br w:type="textWrapping"/>
            </w:r>
            <w:r>
              <w:rPr>
                <w:rFonts w:hint="eastAsia" w:ascii="仿宋_GB2312" w:hAnsi="仿宋" w:eastAsia="仿宋_GB2312" w:cs="仿宋"/>
                <w:color w:val="000000" w:themeColor="text1"/>
                <w:sz w:val="24"/>
                <w:szCs w:val="21"/>
              </w:rPr>
              <w:t>（三）乱倒污水、垃圾，焚烧树叶、垃圾；</w:t>
            </w:r>
            <w:r>
              <w:rPr>
                <w:rFonts w:hint="eastAsia" w:ascii="仿宋_GB2312" w:hAnsi="仿宋" w:eastAsia="仿宋_GB2312" w:cs="仿宋"/>
                <w:color w:val="000000" w:themeColor="text1"/>
                <w:sz w:val="24"/>
                <w:szCs w:val="21"/>
              </w:rPr>
              <w:br w:type="textWrapping"/>
            </w:r>
            <w:r>
              <w:rPr>
                <w:rFonts w:hint="eastAsia" w:ascii="仿宋_GB2312" w:hAnsi="仿宋" w:eastAsia="仿宋_GB2312" w:cs="仿宋"/>
                <w:color w:val="000000" w:themeColor="text1"/>
                <w:sz w:val="24"/>
                <w:szCs w:val="21"/>
              </w:rPr>
              <w:t>（四）其他影响市容环境卫生的行为。</w:t>
            </w:r>
          </w:p>
          <w:p>
            <w:pPr>
              <w:widowControl/>
              <w:shd w:val="clear" w:color="auto" w:fill="FFFFFF"/>
              <w:spacing w:line="400" w:lineRule="exact"/>
              <w:ind w:firstLine="480" w:firstLineChars="200"/>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违反前款规定的，责令改正，并可处五十元罚款；情节严重的，处二百元罚款。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62" w:hRule="atLeast"/>
          <w:jc w:val="center"/>
        </w:trPr>
        <w:tc>
          <w:tcPr>
            <w:tcW w:w="2213" w:type="dxa"/>
            <w:vMerge w:val="continue"/>
            <w:tcBorders>
              <w:tl2br w:val="nil"/>
              <w:tr2bl w:val="nil"/>
            </w:tcBorders>
            <w:vAlign w:val="center"/>
          </w:tcPr>
          <w:p>
            <w:pPr>
              <w:snapToGrid w:val="0"/>
              <w:jc w:val="center"/>
              <w:rPr>
                <w:rFonts w:ascii="宋体" w:hAnsi="宋体" w:cs="宋体"/>
                <w:color w:val="000000" w:themeColor="text1"/>
                <w:szCs w:val="21"/>
              </w:rPr>
            </w:pPr>
          </w:p>
        </w:tc>
        <w:tc>
          <w:tcPr>
            <w:tcW w:w="1812" w:type="dxa"/>
            <w:tcBorders>
              <w:tl2br w:val="nil"/>
              <w:tr2bl w:val="nil"/>
            </w:tcBorders>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（四）生活垃圾制度、设施工具、容器管理、处置、登记及台账</w:t>
            </w:r>
          </w:p>
        </w:tc>
        <w:tc>
          <w:tcPr>
            <w:tcW w:w="1800" w:type="dxa"/>
            <w:tcBorders>
              <w:tl2br w:val="nil"/>
              <w:tr2bl w:val="nil"/>
            </w:tcBorders>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《北京市生活垃圾管理条例》</w:t>
            </w:r>
          </w:p>
        </w:tc>
        <w:tc>
          <w:tcPr>
            <w:tcW w:w="8506" w:type="dxa"/>
            <w:tcBorders>
              <w:tl2br w:val="nil"/>
              <w:tr2bl w:val="nil"/>
            </w:tcBorders>
            <w:vAlign w:val="center"/>
          </w:tcPr>
          <w:p>
            <w:pPr>
              <w:widowControl/>
              <w:shd w:val="clear" w:color="auto" w:fill="FFFFFF"/>
              <w:spacing w:line="400" w:lineRule="exact"/>
              <w:ind w:firstLine="481" w:firstLineChars="200"/>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第三十五条</w:t>
            </w:r>
            <w:r>
              <w:rPr>
                <w:rFonts w:hint="eastAsia" w:ascii="仿宋_GB2312" w:hAnsi="仿宋" w:eastAsia="仿宋_GB2312" w:cs="仿宋"/>
                <w:color w:val="000000" w:themeColor="text1"/>
                <w:sz w:val="24"/>
                <w:szCs w:val="21"/>
              </w:rPr>
              <w:t>　本市实行生活垃圾分类管理责任人制度。生活垃圾分类管理责任人按照下列规定确定：</w:t>
            </w:r>
          </w:p>
          <w:p>
            <w:pPr>
              <w:widowControl/>
              <w:shd w:val="clear" w:color="auto" w:fill="FFFFFF"/>
              <w:spacing w:line="400" w:lineRule="exact"/>
              <w:ind w:firstLine="480" w:firstLineChars="200"/>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（一）城市居住地区，包括住宅小区、胡同、街巷等，实行物业管理的，由物业管理单位负责；单位自管的，由自管的单位负责。</w:t>
            </w:r>
          </w:p>
          <w:p>
            <w:pPr>
              <w:widowControl/>
              <w:shd w:val="clear" w:color="auto" w:fill="FFFFFF"/>
              <w:spacing w:line="400" w:lineRule="exact"/>
              <w:ind w:firstLine="481" w:firstLineChars="200"/>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第三十六条</w:t>
            </w:r>
            <w:r>
              <w:rPr>
                <w:rFonts w:hint="eastAsia" w:ascii="仿宋_GB2312" w:hAnsi="仿宋" w:eastAsia="仿宋_GB2312" w:cs="仿宋"/>
                <w:color w:val="000000" w:themeColor="text1"/>
                <w:sz w:val="24"/>
                <w:szCs w:val="21"/>
              </w:rPr>
              <w:t>　生活垃圾分类管理责任人应当遵守下列规定：</w:t>
            </w:r>
          </w:p>
          <w:p>
            <w:pPr>
              <w:widowControl/>
              <w:shd w:val="clear" w:color="auto" w:fill="FFFFFF"/>
              <w:spacing w:line="400" w:lineRule="exact"/>
              <w:ind w:firstLine="480" w:firstLineChars="200"/>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（一）建立生活垃圾分类日常管理制度；</w:t>
            </w:r>
          </w:p>
          <w:p>
            <w:pPr>
              <w:widowControl/>
              <w:shd w:val="clear" w:color="auto" w:fill="FFFFFF"/>
              <w:spacing w:line="400" w:lineRule="exact"/>
              <w:ind w:firstLine="480" w:firstLineChars="200"/>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（二）在责任范围内开展生活垃圾分类知识宣传，指定专人负责指导、监督单位和个人进行生活垃圾分类；</w:t>
            </w:r>
          </w:p>
          <w:p>
            <w:pPr>
              <w:widowControl/>
              <w:shd w:val="clear" w:color="auto" w:fill="FFFFFF"/>
              <w:spacing w:line="400" w:lineRule="exact"/>
              <w:ind w:firstLine="480" w:firstLineChars="200"/>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（三）根据生活垃圾产生量和分类方法，按照相关规定设置生活垃圾分类收集容器，并保持生活垃圾分类收集容器完好和整洁美观，出现破旧、污损或者数量不足的，及时维修、更换、清洗或者补设；</w:t>
            </w:r>
          </w:p>
          <w:p>
            <w:pPr>
              <w:widowControl/>
              <w:shd w:val="clear" w:color="auto" w:fill="FFFFFF"/>
              <w:spacing w:line="400" w:lineRule="exact"/>
              <w:ind w:firstLine="480" w:firstLineChars="200"/>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（四）明确不同种类生活垃圾的投放时间、地点，分类收集、贮存生活垃圾；</w:t>
            </w:r>
          </w:p>
          <w:p>
            <w:pPr>
              <w:widowControl/>
              <w:shd w:val="clear" w:color="auto" w:fill="FFFFFF"/>
              <w:spacing w:line="400" w:lineRule="exact"/>
              <w:ind w:firstLine="480" w:firstLineChars="200"/>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（五）将生活垃圾交由有资质的单位收集运输，并签订生活垃圾收集运输服务合同，合同示范文本由市城市管理部门会同相关部门制定并公布；</w:t>
            </w:r>
          </w:p>
          <w:p>
            <w:pPr>
              <w:widowControl/>
              <w:shd w:val="clear" w:color="auto" w:fill="FFFFFF"/>
              <w:spacing w:line="400" w:lineRule="exact"/>
              <w:ind w:firstLine="480" w:firstLineChars="200"/>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（六）及时制止翻拣、混合已分类的生活垃圾的行为；</w:t>
            </w:r>
          </w:p>
          <w:p>
            <w:pPr>
              <w:widowControl/>
              <w:shd w:val="clear" w:color="auto" w:fill="FFFFFF"/>
              <w:spacing w:line="400" w:lineRule="exact"/>
              <w:ind w:firstLine="480" w:firstLineChars="200"/>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（七）国家和本市的其他规定。</w:t>
            </w:r>
          </w:p>
          <w:p>
            <w:pPr>
              <w:widowControl/>
              <w:shd w:val="clear" w:color="auto" w:fill="FFFFFF"/>
              <w:spacing w:line="400" w:lineRule="exact"/>
              <w:ind w:firstLine="480" w:firstLineChars="200"/>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生活垃圾分类管理责任人发现投放人不按照分类标准投放的，有权要求其改正；投放人拒不改正的，生活垃圾分类管理责任人应当向城市管理综合执法部门报告。</w:t>
            </w:r>
          </w:p>
          <w:p>
            <w:pPr>
              <w:widowControl/>
              <w:shd w:val="clear" w:color="auto" w:fill="FFFFFF"/>
              <w:spacing w:line="400" w:lineRule="exact"/>
              <w:ind w:firstLine="481" w:firstLineChars="200"/>
              <w:jc w:val="left"/>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第三十七条第二款</w:t>
            </w:r>
            <w:r>
              <w:rPr>
                <w:rFonts w:hint="eastAsia" w:ascii="仿宋_GB2312" w:hAnsi="仿宋" w:eastAsia="仿宋_GB2312" w:cs="仿宋"/>
                <w:color w:val="000000" w:themeColor="text1"/>
                <w:sz w:val="24"/>
                <w:szCs w:val="21"/>
              </w:rPr>
              <w:t>　生活垃圾分类管理责任人应当按照下列规定设置生活垃圾分类收集容器：</w:t>
            </w:r>
          </w:p>
          <w:p>
            <w:pPr>
              <w:widowControl/>
              <w:shd w:val="clear" w:color="auto" w:fill="FFFFFF"/>
              <w:spacing w:line="400" w:lineRule="exact"/>
              <w:ind w:firstLine="480" w:firstLineChars="200"/>
              <w:jc w:val="left"/>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（二）住宅小区和自然村应当在公共区域成组设置厨余垃圾、其他垃圾两类收集容器，并至少在一处生活垃圾交投点设置可回收物、有害垃圾收集容器；</w:t>
            </w:r>
          </w:p>
          <w:p>
            <w:pPr>
              <w:widowControl/>
              <w:shd w:val="clear" w:color="auto" w:fill="FFFFFF"/>
              <w:spacing w:line="400" w:lineRule="exact"/>
              <w:ind w:firstLine="481" w:firstLineChars="200"/>
              <w:jc w:val="left"/>
              <w:rPr>
                <w:rFonts w:ascii="仿宋_GB2312" w:hAnsi="仿宋" w:eastAsia="仿宋_GB2312" w:cs="仿宋"/>
                <w:color w:val="000000" w:themeColor="text1"/>
                <w:sz w:val="24"/>
                <w:szCs w:val="21"/>
              </w:rPr>
            </w:pPr>
            <w:r>
              <w:rPr>
                <w:rFonts w:hint="eastAsia" w:ascii="仿宋_GB2312" w:hAnsi="仿宋" w:eastAsia="仿宋_GB2312" w:cs="仿宋"/>
                <w:b/>
                <w:bCs/>
                <w:color w:val="000000" w:themeColor="text1"/>
                <w:sz w:val="24"/>
                <w:szCs w:val="21"/>
              </w:rPr>
              <w:t>第三十八条</w:t>
            </w:r>
            <w:r>
              <w:rPr>
                <w:rFonts w:hint="eastAsia" w:ascii="仿宋_GB2312" w:hAnsi="仿宋" w:eastAsia="仿宋_GB2312" w:cs="仿宋"/>
                <w:color w:val="000000" w:themeColor="text1"/>
                <w:sz w:val="24"/>
                <w:szCs w:val="21"/>
              </w:rPr>
              <w:t>　生活垃圾分类管理责任人应当按照规定，向所在地的街道办事处或者乡镇人民政府进行生活垃圾排放登记，并保存生活垃圾收集运输服务合同备查。</w:t>
            </w:r>
          </w:p>
          <w:p>
            <w:pPr>
              <w:widowControl/>
              <w:shd w:val="clear" w:color="auto" w:fill="FFFFFF"/>
              <w:spacing w:line="400" w:lineRule="exact"/>
              <w:ind w:firstLine="480" w:firstLineChars="200"/>
              <w:jc w:val="left"/>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生活垃圾分类管理责任人应当建立生活垃圾管理台账，记录责任范围内实际产生的生活垃圾的种类、数量、运输者、去向等情况，并定期向所在地的街道办事处或者乡镇人民政府报告。</w:t>
            </w:r>
          </w:p>
          <w:p>
            <w:pPr>
              <w:widowControl/>
              <w:shd w:val="clear" w:color="auto" w:fill="FFFFFF"/>
              <w:spacing w:line="400" w:lineRule="exact"/>
              <w:ind w:firstLine="481" w:firstLineChars="200"/>
              <w:jc w:val="left"/>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第四十条</w:t>
            </w:r>
            <w:r>
              <w:rPr>
                <w:rFonts w:hint="eastAsia" w:ascii="仿宋_GB2312" w:hAnsi="仿宋" w:eastAsia="仿宋_GB2312" w:cs="仿宋"/>
                <w:color w:val="000000" w:themeColor="text1"/>
                <w:sz w:val="24"/>
                <w:szCs w:val="21"/>
              </w:rPr>
              <w:t>　居民对装饰装修过程中产生的建筑垃圾，应当承担处理费用；生活垃圾分类管理责任人应当依法办理渣土消纳许可。</w:t>
            </w:r>
          </w:p>
          <w:p>
            <w:pPr>
              <w:widowControl/>
              <w:shd w:val="clear" w:color="auto" w:fill="FFFFFF"/>
              <w:spacing w:line="400" w:lineRule="exact"/>
              <w:ind w:firstLine="481" w:firstLineChars="200"/>
              <w:jc w:val="left"/>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第四十一条</w:t>
            </w:r>
            <w:r>
              <w:rPr>
                <w:rFonts w:hint="eastAsia" w:ascii="仿宋_GB2312" w:hAnsi="仿宋" w:eastAsia="仿宋_GB2312" w:cs="仿宋"/>
                <w:color w:val="000000" w:themeColor="text1"/>
                <w:sz w:val="24"/>
                <w:szCs w:val="21"/>
              </w:rPr>
              <w:t>　单位和个人应当按照生活垃圾分类管理责任人公示的时间、地点投放生活垃圾，不得随意丢弃、抛撒生活垃圾。</w:t>
            </w:r>
          </w:p>
          <w:p>
            <w:pPr>
              <w:pStyle w:val="23"/>
              <w:shd w:val="clear" w:color="auto" w:fill="FFFFFF"/>
              <w:spacing w:before="0" w:beforeAutospacing="0" w:after="0" w:afterAutospacing="0" w:line="400" w:lineRule="exact"/>
              <w:ind w:firstLine="481" w:firstLineChars="200"/>
              <w:jc w:val="both"/>
              <w:rPr>
                <w:rFonts w:ascii="仿宋_GB2312" w:hAnsi="仿宋" w:eastAsia="仿宋_GB2312" w:cs="仿宋"/>
                <w:color w:val="000000" w:themeColor="text1"/>
                <w:kern w:val="2"/>
                <w:szCs w:val="21"/>
              </w:rPr>
            </w:pPr>
            <w:r>
              <w:rPr>
                <w:rFonts w:hint="eastAsia" w:ascii="仿宋_GB2312" w:hAnsi="仿宋" w:eastAsia="仿宋_GB2312" w:cs="仿宋"/>
                <w:b/>
                <w:bCs/>
                <w:color w:val="000000" w:themeColor="text1"/>
                <w:kern w:val="2"/>
                <w:szCs w:val="21"/>
              </w:rPr>
              <w:t>第六十九条</w:t>
            </w:r>
            <w:r>
              <w:rPr>
                <w:rFonts w:hint="eastAsia" w:ascii="仿宋_GB2312" w:hAnsi="仿宋" w:eastAsia="仿宋_GB2312" w:cs="仿宋"/>
                <w:color w:val="000000" w:themeColor="text1"/>
                <w:kern w:val="2"/>
                <w:szCs w:val="21"/>
              </w:rPr>
              <w:t>　生活垃圾分类管理责任人违反本条例第三十六条第一款第（一）项、第（二）项、第（三）项、第（四）项、第（六）项规定的，由城市管理综合执法部门责令立即改正，处三千元以上三万元以下罚款。</w:t>
            </w:r>
          </w:p>
          <w:p>
            <w:pPr>
              <w:pStyle w:val="23"/>
              <w:shd w:val="clear" w:color="auto" w:fill="FFFFFF"/>
              <w:spacing w:before="0" w:beforeAutospacing="0" w:after="0" w:afterAutospacing="0" w:line="400" w:lineRule="exact"/>
              <w:ind w:firstLine="480" w:firstLineChars="200"/>
              <w:jc w:val="both"/>
              <w:rPr>
                <w:rFonts w:ascii="仿宋_GB2312" w:hAnsi="仿宋" w:eastAsia="仿宋_GB2312" w:cs="仿宋"/>
                <w:color w:val="000000" w:themeColor="text1"/>
                <w:kern w:val="2"/>
                <w:szCs w:val="21"/>
              </w:rPr>
            </w:pPr>
            <w:r>
              <w:rPr>
                <w:rFonts w:hint="eastAsia" w:ascii="仿宋_GB2312" w:hAnsi="仿宋" w:eastAsia="仿宋_GB2312" w:cs="仿宋"/>
                <w:color w:val="000000" w:themeColor="text1"/>
                <w:kern w:val="2"/>
                <w:szCs w:val="21"/>
              </w:rPr>
              <w:t>违反本条例第三十六条第一款第（五）项规定，生活垃圾分类管理责任人将生活垃圾交由未经许可或者备案的企业和个人进行处置的，由城市管理综合执法部门责令立即改正，处一万元以上十万元以下罚款。</w:t>
            </w:r>
          </w:p>
          <w:p>
            <w:pPr>
              <w:pStyle w:val="23"/>
              <w:shd w:val="clear" w:color="auto" w:fill="FFFFFF"/>
              <w:spacing w:before="0" w:beforeAutospacing="0" w:after="0" w:afterAutospacing="0" w:line="400" w:lineRule="exact"/>
              <w:ind w:firstLine="481" w:firstLineChars="200"/>
              <w:jc w:val="both"/>
              <w:rPr>
                <w:rFonts w:ascii="仿宋_GB2312" w:hAnsi="仿宋" w:eastAsia="仿宋_GB2312" w:cs="仿宋"/>
                <w:color w:val="000000" w:themeColor="text1"/>
                <w:kern w:val="2"/>
                <w:szCs w:val="21"/>
              </w:rPr>
            </w:pPr>
            <w:r>
              <w:rPr>
                <w:rFonts w:hint="eastAsia" w:ascii="仿宋_GB2312" w:hAnsi="仿宋" w:eastAsia="仿宋_GB2312" w:cs="仿宋"/>
                <w:b/>
                <w:bCs/>
                <w:color w:val="000000" w:themeColor="text1"/>
                <w:kern w:val="2"/>
                <w:szCs w:val="21"/>
              </w:rPr>
              <w:t>第七十条</w:t>
            </w:r>
            <w:r>
              <w:rPr>
                <w:rFonts w:hint="eastAsia" w:ascii="仿宋_GB2312" w:hAnsi="仿宋" w:eastAsia="仿宋_GB2312" w:cs="仿宋"/>
                <w:color w:val="000000" w:themeColor="text1"/>
                <w:kern w:val="2"/>
                <w:szCs w:val="21"/>
              </w:rPr>
              <w:t>　违反本条例第三十八条第一款规定，生活垃圾分类管理责任人未办理生活垃圾排放登记或者登记信息虚假的，由城市管理综合执法部门责令立即改正，处一千元以上五千元以下罚款。</w:t>
            </w:r>
          </w:p>
          <w:p>
            <w:pPr>
              <w:pStyle w:val="23"/>
              <w:shd w:val="clear" w:color="auto" w:fill="FFFFFF"/>
              <w:spacing w:before="0" w:beforeAutospacing="0" w:after="0" w:afterAutospacing="0" w:line="400" w:lineRule="exact"/>
              <w:ind w:firstLine="480" w:firstLineChars="200"/>
              <w:rPr>
                <w:rFonts w:ascii="仿宋_GB2312" w:hAnsi="仿宋" w:eastAsia="仿宋_GB2312" w:cs="仿宋"/>
                <w:color w:val="000000" w:themeColor="text1"/>
                <w:kern w:val="2"/>
                <w:szCs w:val="21"/>
              </w:rPr>
            </w:pPr>
            <w:r>
              <w:rPr>
                <w:rFonts w:hint="eastAsia" w:ascii="仿宋_GB2312" w:hAnsi="仿宋" w:eastAsia="仿宋_GB2312" w:cs="仿宋"/>
                <w:color w:val="000000" w:themeColor="text1"/>
                <w:kern w:val="2"/>
                <w:szCs w:val="21"/>
              </w:rPr>
              <w:t>违反本条例第三十八条第二款规定，生活垃圾分类管理责任人未建立生活垃圾管理台账，或者不如实记录责任范围内生活垃圾排放情况的，由城市管理综合执法部门责令立即改正，处一千元以上一万元以下罚款。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7" w:hRule="atLeast"/>
          <w:jc w:val="center"/>
        </w:trPr>
        <w:tc>
          <w:tcPr>
            <w:tcW w:w="2213" w:type="dxa"/>
            <w:vMerge w:val="continue"/>
            <w:tcBorders>
              <w:tl2br w:val="nil"/>
              <w:tr2bl w:val="nil"/>
            </w:tcBorders>
            <w:vAlign w:val="center"/>
          </w:tcPr>
          <w:p>
            <w:pPr>
              <w:snapToGrid w:val="0"/>
              <w:jc w:val="center"/>
              <w:rPr>
                <w:rFonts w:ascii="宋体" w:hAnsi="宋体" w:cs="宋体"/>
                <w:color w:val="000000" w:themeColor="text1"/>
                <w:szCs w:val="21"/>
              </w:rPr>
            </w:pPr>
          </w:p>
        </w:tc>
        <w:tc>
          <w:tcPr>
            <w:tcW w:w="1812" w:type="dxa"/>
            <w:tcBorders>
              <w:tl2br w:val="nil"/>
              <w:tr2bl w:val="nil"/>
            </w:tcBorders>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（五）缴纳生活垃圾处理费</w:t>
            </w:r>
          </w:p>
        </w:tc>
        <w:tc>
          <w:tcPr>
            <w:tcW w:w="1800" w:type="dxa"/>
            <w:tcBorders>
              <w:tl2br w:val="nil"/>
              <w:tr2bl w:val="nil"/>
            </w:tcBorders>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《北京市生活垃圾管理条例》</w:t>
            </w:r>
          </w:p>
        </w:tc>
        <w:tc>
          <w:tcPr>
            <w:tcW w:w="8506" w:type="dxa"/>
            <w:tcBorders>
              <w:tl2br w:val="nil"/>
              <w:tr2bl w:val="nil"/>
            </w:tcBorders>
            <w:vAlign w:val="center"/>
          </w:tcPr>
          <w:p>
            <w:pPr>
              <w:widowControl/>
              <w:shd w:val="clear" w:color="auto" w:fill="FFFFFF"/>
              <w:ind w:firstLine="481" w:firstLineChars="200"/>
              <w:jc w:val="left"/>
              <w:rPr>
                <w:rFonts w:ascii="仿宋_GB2312" w:hAnsi="仿宋" w:eastAsia="仿宋_GB2312" w:cs="仿宋"/>
                <w:color w:val="000000" w:themeColor="text1"/>
                <w:sz w:val="24"/>
              </w:rPr>
            </w:pPr>
            <w:r>
              <w:rPr>
                <w:rFonts w:hint="eastAsia" w:ascii="仿宋_GB2312" w:hAnsi="仿宋" w:eastAsia="仿宋_GB2312" w:cs="仿宋"/>
                <w:b/>
                <w:color w:val="000000" w:themeColor="text1"/>
                <w:sz w:val="24"/>
              </w:rPr>
              <w:t>第八条第二款</w:t>
            </w:r>
            <w:r>
              <w:rPr>
                <w:rFonts w:hint="eastAsia" w:ascii="仿宋_GB2312" w:hAnsi="仿宋" w:eastAsia="仿宋_GB2312" w:cs="仿宋"/>
                <w:color w:val="000000" w:themeColor="text1"/>
                <w:sz w:val="24"/>
              </w:rPr>
              <w:t>　产生生活垃圾的单位和个人应当按照规定缴纳生活垃圾处理费。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90" w:hRule="atLeast"/>
          <w:jc w:val="center"/>
        </w:trPr>
        <w:tc>
          <w:tcPr>
            <w:tcW w:w="2213" w:type="dxa"/>
            <w:vMerge w:val="continue"/>
            <w:tcBorders>
              <w:tl2br w:val="nil"/>
              <w:tr2bl w:val="nil"/>
            </w:tcBorders>
            <w:vAlign w:val="center"/>
          </w:tcPr>
          <w:p>
            <w:pPr>
              <w:snapToGrid w:val="0"/>
              <w:jc w:val="center"/>
              <w:rPr>
                <w:rFonts w:ascii="宋体" w:hAnsi="宋体" w:cs="宋体"/>
                <w:color w:val="000000" w:themeColor="text1"/>
                <w:szCs w:val="21"/>
              </w:rPr>
            </w:pPr>
          </w:p>
        </w:tc>
        <w:tc>
          <w:tcPr>
            <w:tcW w:w="1812" w:type="dxa"/>
            <w:tcBorders>
              <w:tl2br w:val="nil"/>
              <w:tr2bl w:val="nil"/>
            </w:tcBorders>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（六）随意倾倒、抛洒或者堆放城市生活垃圾</w:t>
            </w:r>
          </w:p>
        </w:tc>
        <w:tc>
          <w:tcPr>
            <w:tcW w:w="1800" w:type="dxa"/>
            <w:tcBorders>
              <w:tl2br w:val="nil"/>
              <w:tr2bl w:val="nil"/>
            </w:tcBorders>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《北京市生活垃圾管理条例》</w:t>
            </w:r>
          </w:p>
        </w:tc>
        <w:tc>
          <w:tcPr>
            <w:tcW w:w="8506" w:type="dxa"/>
            <w:tcBorders>
              <w:tl2br w:val="nil"/>
              <w:tr2bl w:val="nil"/>
            </w:tcBorders>
            <w:vAlign w:val="center"/>
          </w:tcPr>
          <w:p>
            <w:pPr>
              <w:widowControl/>
              <w:shd w:val="clear" w:color="auto" w:fill="FFFFFF"/>
              <w:snapToGrid w:val="0"/>
              <w:spacing w:line="400" w:lineRule="exact"/>
              <w:ind w:firstLine="481" w:firstLineChars="200"/>
              <w:jc w:val="left"/>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第四十一条</w:t>
            </w:r>
            <w:r>
              <w:rPr>
                <w:rFonts w:hint="eastAsia" w:ascii="仿宋_GB2312" w:hAnsi="仿宋" w:eastAsia="仿宋_GB2312" w:cs="仿宋"/>
                <w:color w:val="000000" w:themeColor="text1"/>
                <w:sz w:val="24"/>
              </w:rPr>
              <w:t>　单位和个人应当按照生活垃圾分类管理责任人公示的时间、地点投放生活垃圾，不得随意丢弃、抛撒生活垃圾。</w:t>
            </w:r>
          </w:p>
          <w:p>
            <w:pPr>
              <w:pStyle w:val="47"/>
              <w:snapToGrid w:val="0"/>
              <w:spacing w:after="0" w:line="400" w:lineRule="exact"/>
              <w:ind w:left="0" w:leftChars="0" w:firstLine="482"/>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第四十五条</w:t>
            </w:r>
            <w:r>
              <w:rPr>
                <w:rFonts w:hint="eastAsia" w:ascii="仿宋_GB2312" w:hAnsi="仿宋" w:eastAsia="仿宋_GB2312" w:cs="仿宋"/>
                <w:b/>
                <w:color w:val="000000" w:themeColor="text1"/>
                <w:sz w:val="24"/>
              </w:rPr>
              <w:t>第一款第（二）项</w:t>
            </w:r>
            <w:r>
              <w:rPr>
                <w:rFonts w:hint="eastAsia" w:ascii="仿宋_GB2312" w:hAnsi="仿宋" w:eastAsia="仿宋_GB2312" w:cs="仿宋"/>
                <w:color w:val="000000" w:themeColor="text1"/>
                <w:sz w:val="24"/>
              </w:rPr>
              <w:t>　收集、运输生活垃圾的单位应当遵守下列规定：</w:t>
            </w:r>
          </w:p>
          <w:p>
            <w:pPr>
              <w:pStyle w:val="47"/>
              <w:snapToGrid w:val="0"/>
              <w:spacing w:after="0" w:line="400" w:lineRule="exact"/>
              <w:ind w:left="0" w:leftChars="0" w:firstLine="480"/>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（二）将生活垃圾分类运输至集中收集设施或者符合规定的转运、处理设施，不得混装混运，不得随意倾倒、丢弃、遗撒、堆放。</w:t>
            </w:r>
          </w:p>
          <w:p>
            <w:pPr>
              <w:pStyle w:val="47"/>
              <w:snapToGrid w:val="0"/>
              <w:spacing w:after="0" w:line="400" w:lineRule="exact"/>
              <w:ind w:left="0" w:leftChars="0" w:firstLine="482"/>
              <w:rPr>
                <w:color w:val="000000" w:themeColor="text1"/>
              </w:rPr>
            </w:pPr>
            <w:r>
              <w:rPr>
                <w:rFonts w:hint="eastAsia" w:ascii="仿宋_GB2312" w:hAnsi="仿宋" w:eastAsia="仿宋_GB2312" w:cs="仿宋"/>
                <w:b/>
                <w:bCs/>
                <w:color w:val="000000" w:themeColor="text1"/>
                <w:sz w:val="24"/>
              </w:rPr>
              <w:t>第七十一条第二款</w:t>
            </w:r>
            <w:r>
              <w:rPr>
                <w:rFonts w:hint="eastAsia" w:ascii="仿宋_GB2312" w:hAnsi="仿宋" w:eastAsia="仿宋_GB2312" w:cs="仿宋"/>
                <w:color w:val="000000" w:themeColor="text1"/>
                <w:sz w:val="24"/>
              </w:rPr>
              <w:t>　生活垃圾收集、运输单位违反本条例第四十五条第一款第（二）项规定的，由城市管理综合执法部门责令清除，处五万元以上五十万元以下罚款，没收违法所得；情节严重的，由城市管理综合执法部门吊销生活垃圾收集、运输经营许可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99" w:hRule="atLeast"/>
          <w:jc w:val="center"/>
        </w:trPr>
        <w:tc>
          <w:tcPr>
            <w:tcW w:w="2213" w:type="dxa"/>
            <w:vMerge w:val="restart"/>
            <w:tcBorders>
              <w:tl2br w:val="nil"/>
              <w:tr2bl w:val="nil"/>
            </w:tcBorders>
            <w:vAlign w:val="center"/>
          </w:tcPr>
          <w:p>
            <w:pPr>
              <w:widowControl/>
              <w:snapToGrid w:val="0"/>
              <w:spacing w:line="360" w:lineRule="exact"/>
              <w:jc w:val="center"/>
              <w:textAlignment w:val="center"/>
              <w:rPr>
                <w:rFonts w:ascii="宋体" w:hAnsi="宋体" w:cs="宋体"/>
                <w:color w:val="000000" w:themeColor="text1"/>
                <w:szCs w:val="21"/>
              </w:rPr>
            </w:pPr>
            <w:r>
              <w:rPr>
                <w:rFonts w:hint="eastAsia" w:ascii="仿宋_GB2312" w:hAnsi="仿宋" w:eastAsia="仿宋_GB2312" w:cs="仿宋"/>
                <w:color w:val="000000" w:themeColor="text1"/>
                <w:sz w:val="24"/>
                <w:szCs w:val="21"/>
              </w:rPr>
              <w:t>二、建筑垃圾</w:t>
            </w:r>
          </w:p>
        </w:tc>
        <w:tc>
          <w:tcPr>
            <w:tcW w:w="1812" w:type="dxa"/>
            <w:tcBorders>
              <w:tl2br w:val="nil"/>
              <w:tr2bl w:val="nil"/>
            </w:tcBorders>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（一）建筑垃圾资源化利用</w:t>
            </w:r>
          </w:p>
        </w:tc>
        <w:tc>
          <w:tcPr>
            <w:tcW w:w="1800" w:type="dxa"/>
            <w:tcBorders>
              <w:tl2br w:val="nil"/>
              <w:tr2bl w:val="nil"/>
            </w:tcBorders>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w:t>
            </w:r>
            <w:r>
              <w:rPr>
                <w:rFonts w:hint="eastAsia" w:ascii="仿宋_GB2312" w:hAnsi="仿宋" w:eastAsia="仿宋_GB2312" w:cs="仿宋"/>
                <w:bCs/>
                <w:color w:val="000000" w:themeColor="text1"/>
                <w:sz w:val="24"/>
                <w:szCs w:val="21"/>
              </w:rPr>
              <w:t>北京市建筑垃圾处置管理规定</w:t>
            </w:r>
            <w:r>
              <w:rPr>
                <w:rFonts w:hint="eastAsia" w:ascii="仿宋_GB2312" w:hAnsi="仿宋" w:eastAsia="仿宋_GB2312" w:cs="仿宋"/>
                <w:color w:val="000000" w:themeColor="text1"/>
                <w:sz w:val="24"/>
                <w:szCs w:val="21"/>
              </w:rPr>
              <w:t>》</w:t>
            </w:r>
          </w:p>
        </w:tc>
        <w:tc>
          <w:tcPr>
            <w:tcW w:w="8506" w:type="dxa"/>
            <w:tcBorders>
              <w:tl2br w:val="nil"/>
              <w:tr2bl w:val="nil"/>
            </w:tcBorders>
            <w:vAlign w:val="center"/>
          </w:tcPr>
          <w:p>
            <w:pPr>
              <w:widowControl/>
              <w:shd w:val="clear" w:color="auto" w:fill="FFFFFF"/>
              <w:spacing w:line="400" w:lineRule="exact"/>
              <w:ind w:firstLine="481" w:firstLineChars="200"/>
              <w:jc w:val="left"/>
              <w:rPr>
                <w:rFonts w:ascii="仿宋_GB2312" w:hAnsi="仿宋" w:eastAsia="仿宋_GB2312" w:cs="仿宋"/>
                <w:b/>
                <w:color w:val="000000" w:themeColor="text1"/>
                <w:sz w:val="24"/>
              </w:rPr>
            </w:pPr>
            <w:r>
              <w:rPr>
                <w:rFonts w:hint="eastAsia" w:ascii="仿宋_GB2312" w:hAnsi="仿宋" w:eastAsia="仿宋_GB2312" w:cs="仿宋"/>
                <w:b/>
                <w:color w:val="000000" w:themeColor="text1"/>
                <w:sz w:val="24"/>
              </w:rPr>
              <w:t>第二十条第二款</w:t>
            </w:r>
            <w:r>
              <w:rPr>
                <w:rFonts w:hint="eastAsia" w:ascii="仿宋_GB2312" w:hAnsi="仿宋" w:eastAsia="仿宋_GB2312" w:cs="仿宋"/>
                <w:color w:val="000000" w:themeColor="text1"/>
                <w:sz w:val="24"/>
              </w:rPr>
              <w:t>　施工单位应当按照城市管理部门的规定对建筑垃圾进行资源化利用或者处置，并根据建筑垃圾运输服务合同的约定，通知建筑垃圾运输服务单位及时清运施工产生的建筑垃圾；对需要在施工现场贮存的建筑垃圾，应当按照规定采取密闭式垃圾站或者防尘网遮盖等扬尘防治措施。</w:t>
            </w:r>
          </w:p>
          <w:p>
            <w:pPr>
              <w:widowControl/>
              <w:shd w:val="clear" w:color="auto" w:fill="FFFFFF"/>
              <w:spacing w:line="400" w:lineRule="exact"/>
              <w:ind w:firstLine="481" w:firstLineChars="200"/>
              <w:jc w:val="left"/>
              <w:rPr>
                <w:rFonts w:ascii="仿宋_GB2312" w:hAnsi="仿宋" w:eastAsia="仿宋_GB2312" w:cs="仿宋"/>
                <w:color w:val="000000" w:themeColor="text1"/>
                <w:sz w:val="24"/>
              </w:rPr>
            </w:pPr>
            <w:r>
              <w:rPr>
                <w:rFonts w:hint="eastAsia" w:ascii="仿宋_GB2312" w:hAnsi="仿宋" w:eastAsia="仿宋_GB2312" w:cs="仿宋"/>
                <w:b/>
                <w:color w:val="000000" w:themeColor="text1"/>
                <w:sz w:val="24"/>
              </w:rPr>
              <w:t>第二十三条</w:t>
            </w:r>
            <w:r>
              <w:rPr>
                <w:rFonts w:hint="eastAsia" w:ascii="仿宋_GB2312" w:hAnsi="仿宋" w:eastAsia="仿宋_GB2312" w:cs="仿宋"/>
                <w:color w:val="000000" w:themeColor="text1"/>
                <w:sz w:val="24"/>
              </w:rPr>
              <w:t>　建设单位、生活垃圾分类管理责任人自行或者委托他人对建筑垃圾进行资源化利用，除采取就地资源化利用方式外，应当科学确定资源化利用人和资源化利用场所，签订建筑垃圾资源化利用协议，选择有资质的建筑垃圾运输服务单位，并签订建筑垃圾运输服务合同，将建筑垃圾运送至确定的资源化利用场所。</w:t>
            </w:r>
          </w:p>
          <w:p>
            <w:pPr>
              <w:widowControl/>
              <w:shd w:val="clear" w:color="auto" w:fill="FFFFFF"/>
              <w:spacing w:line="400" w:lineRule="exact"/>
              <w:ind w:firstLine="200"/>
              <w:jc w:val="left"/>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　对建筑垃圾进行资源化利用的，无需签订建筑垃圾消纳处置协议和备案建筑垃圾消纳情况。</w:t>
            </w:r>
          </w:p>
          <w:p>
            <w:pPr>
              <w:pStyle w:val="47"/>
              <w:spacing w:after="0" w:line="400" w:lineRule="exact"/>
              <w:ind w:left="0" w:leftChars="0" w:firstLine="482"/>
              <w:rPr>
                <w:color w:val="000000" w:themeColor="text1"/>
              </w:rPr>
            </w:pPr>
            <w:r>
              <w:rPr>
                <w:rFonts w:hint="eastAsia" w:ascii="仿宋_GB2312" w:hAnsi="仿宋" w:eastAsia="仿宋_GB2312" w:cs="仿宋"/>
                <w:b/>
                <w:color w:val="000000" w:themeColor="text1"/>
                <w:sz w:val="24"/>
              </w:rPr>
              <w:t>第四十一条第二款</w:t>
            </w:r>
            <w:r>
              <w:rPr>
                <w:rFonts w:hint="eastAsia" w:ascii="仿宋_GB2312" w:hAnsi="仿宋" w:eastAsia="仿宋_GB2312" w:cs="仿宋"/>
                <w:color w:val="000000" w:themeColor="text1"/>
                <w:sz w:val="24"/>
              </w:rPr>
              <w:t>　违反本规定第二十条第二款规定，施工单位未及时清运建筑垃圾，或者未按照规定对施工过程中产生的建筑垃圾进行资源化利用或者处置的，由城市管理综合执法部门责令限期改正，处10万元以上100万元以下罚款；未按照规定对现场贮存的建筑垃圾采取扬尘防治措施，由城市管理综合执法部门责令限期改正，处1万元以上10万元以下罚款；拒不改正的，责令停工整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6" w:hRule="atLeast"/>
          <w:jc w:val="center"/>
        </w:trPr>
        <w:tc>
          <w:tcPr>
            <w:tcW w:w="2213" w:type="dxa"/>
            <w:vMerge w:val="continue"/>
            <w:tcBorders>
              <w:tl2br w:val="nil"/>
              <w:tr2bl w:val="nil"/>
            </w:tcBorders>
            <w:vAlign w:val="center"/>
          </w:tcPr>
          <w:p>
            <w:pPr>
              <w:snapToGrid w:val="0"/>
              <w:jc w:val="center"/>
              <w:rPr>
                <w:rFonts w:ascii="宋体" w:hAnsi="宋体" w:cs="宋体"/>
                <w:color w:val="000000" w:themeColor="text1"/>
                <w:szCs w:val="21"/>
              </w:rPr>
            </w:pPr>
          </w:p>
        </w:tc>
        <w:tc>
          <w:tcPr>
            <w:tcW w:w="1812" w:type="dxa"/>
            <w:tcBorders>
              <w:tl2br w:val="nil"/>
              <w:tr2bl w:val="nil"/>
            </w:tcBorders>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（二）建筑垃圾清运</w:t>
            </w:r>
          </w:p>
        </w:tc>
        <w:tc>
          <w:tcPr>
            <w:tcW w:w="1800" w:type="dxa"/>
            <w:tcBorders>
              <w:tl2br w:val="nil"/>
              <w:tr2bl w:val="nil"/>
            </w:tcBorders>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《北京市生活垃圾管理条例》</w:t>
            </w:r>
          </w:p>
        </w:tc>
        <w:tc>
          <w:tcPr>
            <w:tcW w:w="8506" w:type="dxa"/>
            <w:tcBorders>
              <w:tl2br w:val="nil"/>
              <w:tr2bl w:val="nil"/>
            </w:tcBorders>
            <w:vAlign w:val="center"/>
          </w:tcPr>
          <w:p>
            <w:pPr>
              <w:widowControl/>
              <w:shd w:val="clear" w:color="auto" w:fill="FFFFFF"/>
              <w:spacing w:line="400" w:lineRule="exact"/>
              <w:ind w:firstLine="481" w:firstLineChars="200"/>
              <w:jc w:val="left"/>
              <w:rPr>
                <w:rFonts w:ascii="仿宋_GB2312" w:hAnsi="仿宋" w:eastAsia="仿宋_GB2312" w:cs="仿宋"/>
                <w:color w:val="000000" w:themeColor="text1"/>
                <w:sz w:val="24"/>
              </w:rPr>
            </w:pPr>
            <w:r>
              <w:rPr>
                <w:rFonts w:hint="eastAsia" w:ascii="仿宋_GB2312" w:hAnsi="仿宋" w:eastAsia="仿宋_GB2312" w:cs="仿宋"/>
                <w:b/>
                <w:color w:val="000000" w:themeColor="text1"/>
                <w:sz w:val="24"/>
              </w:rPr>
              <w:t>第四十七条</w:t>
            </w:r>
            <w:r>
              <w:rPr>
                <w:rFonts w:hint="eastAsia" w:ascii="仿宋_GB2312" w:hAnsi="仿宋" w:eastAsia="仿宋_GB2312" w:cs="仿宋"/>
                <w:color w:val="000000" w:themeColor="text1"/>
                <w:sz w:val="24"/>
              </w:rPr>
              <w:t>　建设单位应当将建筑垃圾交由有资质的运输单位，按照渣土消纳许可确定的时间、路线和要求，运输至符合规定的渣土消纳场所。实施建筑垃圾就地资源化处置的，应当采用符合建筑垃圾资源化处理要求的设备或者方式。</w:t>
            </w:r>
          </w:p>
          <w:p>
            <w:pPr>
              <w:widowControl/>
              <w:shd w:val="clear" w:color="auto" w:fill="FFFFFF"/>
              <w:spacing w:line="400" w:lineRule="exact"/>
              <w:ind w:firstLine="480" w:firstLineChars="200"/>
              <w:jc w:val="left"/>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建设单位应当将实际产生的建筑垃圾的种类、数量、运输者、去向等情况，及时告知渣土消纳场所。渣土消纳场所发现与实际接收的数量不符的，应当及时报告城市管理部门。</w:t>
            </w:r>
          </w:p>
          <w:p>
            <w:pPr>
              <w:widowControl/>
              <w:shd w:val="clear" w:color="auto" w:fill="FFFFFF"/>
              <w:spacing w:line="400" w:lineRule="exact"/>
              <w:ind w:firstLine="481" w:firstLineChars="200"/>
              <w:jc w:val="left"/>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sz w:val="24"/>
              </w:rPr>
              <w:t>第七十三条</w:t>
            </w:r>
            <w:r>
              <w:rPr>
                <w:rFonts w:hint="eastAsia" w:ascii="仿宋_GB2312" w:hAnsi="仿宋" w:eastAsia="仿宋_GB2312" w:cs="仿宋"/>
                <w:color w:val="000000" w:themeColor="text1"/>
                <w:sz w:val="24"/>
              </w:rPr>
              <w:t>　建设工程的建设单位、拆除工程的承担单位违反本条例第四十七条第一款规定处理建筑垃圾的，由城市管理综合执法部门责令限期改正，处一万元以上十万元以下罚款。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91" w:hRule="atLeast"/>
          <w:jc w:val="center"/>
        </w:trPr>
        <w:tc>
          <w:tcPr>
            <w:tcW w:w="2213" w:type="dxa"/>
            <w:vMerge w:val="continue"/>
            <w:tcBorders>
              <w:tl2br w:val="nil"/>
              <w:tr2bl w:val="nil"/>
            </w:tcBorders>
            <w:vAlign w:val="center"/>
          </w:tcPr>
          <w:p>
            <w:pPr>
              <w:snapToGrid w:val="0"/>
              <w:jc w:val="center"/>
              <w:rPr>
                <w:rFonts w:ascii="宋体" w:hAnsi="宋体" w:cs="宋体"/>
                <w:color w:val="000000" w:themeColor="text1"/>
                <w:szCs w:val="21"/>
              </w:rPr>
            </w:pPr>
          </w:p>
        </w:tc>
        <w:tc>
          <w:tcPr>
            <w:tcW w:w="1812" w:type="dxa"/>
            <w:tcBorders>
              <w:tl2br w:val="nil"/>
              <w:tr2bl w:val="nil"/>
            </w:tcBorders>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（三）建筑垃圾的倾倒、堆放和处置</w:t>
            </w:r>
          </w:p>
        </w:tc>
        <w:tc>
          <w:tcPr>
            <w:tcW w:w="1800" w:type="dxa"/>
            <w:tcBorders>
              <w:tl2br w:val="nil"/>
              <w:tr2bl w:val="nil"/>
            </w:tcBorders>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《北京市建筑垃圾处置管理规定》</w:t>
            </w:r>
          </w:p>
        </w:tc>
        <w:tc>
          <w:tcPr>
            <w:tcW w:w="8506" w:type="dxa"/>
            <w:tcBorders>
              <w:tl2br w:val="nil"/>
              <w:tr2bl w:val="nil"/>
            </w:tcBorders>
            <w:vAlign w:val="center"/>
          </w:tcPr>
          <w:p>
            <w:pPr>
              <w:pStyle w:val="23"/>
              <w:shd w:val="clear" w:color="auto" w:fill="FFFFFF"/>
              <w:spacing w:before="0" w:beforeAutospacing="0" w:after="0" w:afterAutospacing="0" w:line="400" w:lineRule="exact"/>
              <w:ind w:firstLine="481" w:firstLineChars="200"/>
              <w:jc w:val="both"/>
              <w:rPr>
                <w:rFonts w:ascii="仿宋_GB2312" w:hAnsi="仿宋" w:eastAsia="仿宋_GB2312" w:cs="仿宋"/>
                <w:color w:val="000000" w:themeColor="text1"/>
                <w:kern w:val="2"/>
              </w:rPr>
            </w:pPr>
            <w:r>
              <w:rPr>
                <w:rFonts w:hint="eastAsia" w:ascii="仿宋_GB2312" w:hAnsi="仿宋" w:eastAsia="仿宋_GB2312" w:cs="仿宋"/>
                <w:b/>
                <w:bCs/>
                <w:color w:val="000000" w:themeColor="text1"/>
                <w:kern w:val="2"/>
              </w:rPr>
              <w:t>第六条</w:t>
            </w:r>
            <w:r>
              <w:rPr>
                <w:rFonts w:hint="eastAsia" w:ascii="仿宋_GB2312" w:hAnsi="仿宋" w:eastAsia="仿宋_GB2312" w:cs="仿宋"/>
                <w:color w:val="000000" w:themeColor="text1"/>
                <w:kern w:val="2"/>
              </w:rPr>
              <w:t>　建筑垃圾产生者负有建筑垃圾处置义务；委托他人处置建筑垃圾的，应当承担处置费用，双方另有约定的除外。</w:t>
            </w:r>
          </w:p>
          <w:p>
            <w:pPr>
              <w:pStyle w:val="23"/>
              <w:shd w:val="clear" w:color="auto" w:fill="FFFFFF"/>
              <w:spacing w:before="0" w:beforeAutospacing="0" w:after="0" w:afterAutospacing="0" w:line="400" w:lineRule="exact"/>
              <w:ind w:firstLine="480" w:firstLineChars="200"/>
              <w:jc w:val="both"/>
              <w:rPr>
                <w:rFonts w:ascii="仿宋_GB2312" w:hAnsi="仿宋" w:eastAsia="仿宋_GB2312" w:cs="仿宋"/>
                <w:color w:val="000000" w:themeColor="text1"/>
                <w:kern w:val="2"/>
              </w:rPr>
            </w:pPr>
            <w:r>
              <w:rPr>
                <w:rFonts w:hint="eastAsia" w:ascii="仿宋_GB2312" w:hAnsi="仿宋" w:eastAsia="仿宋_GB2312" w:cs="仿宋"/>
                <w:color w:val="000000" w:themeColor="text1"/>
                <w:kern w:val="2"/>
              </w:rPr>
              <w:t>任何单位和个人不得随意倾倒、抛撒或者堆放建筑垃圾，不得将建筑垃圾与其他生活垃圾、危险废物混合，不得未经许可从事建筑垃圾运输、消纳等活动。</w:t>
            </w:r>
          </w:p>
          <w:p>
            <w:pPr>
              <w:widowControl/>
              <w:shd w:val="clear" w:color="auto" w:fill="FFFFFF"/>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color w:val="000000" w:themeColor="text1"/>
                <w:sz w:val="24"/>
              </w:rPr>
              <w:t>第十条</w:t>
            </w:r>
            <w:r>
              <w:rPr>
                <w:rFonts w:hint="eastAsia" w:ascii="仿宋_GB2312" w:hAnsi="仿宋" w:eastAsia="仿宋_GB2312" w:cs="仿宋"/>
                <w:color w:val="000000" w:themeColor="text1"/>
                <w:sz w:val="24"/>
              </w:rPr>
              <w:t>　居民装饰装修房屋过程中产生的建筑垃圾，应当按照生活垃圾分类管理责任人规定的时间、地点和要求单独堆放，并承担处置费用。生活垃圾分类管理责任人按照《北京市生活垃圾管理条例》的规定确定。</w:t>
            </w:r>
          </w:p>
          <w:p>
            <w:pPr>
              <w:widowControl/>
              <w:shd w:val="clear" w:color="auto" w:fill="FFFFFF"/>
              <w:spacing w:line="400" w:lineRule="exact"/>
              <w:ind w:firstLine="480" w:firstLineChars="200"/>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生活垃圾分类管理责任人应当对居民装饰装修房屋产生的建筑垃圾制定治理方案，明确建筑垃圾投放规范、时间和地点、监督投诉方式等事项，按照随产随清的原则及时清运建筑垃圾；确因客观条件不能对建筑垃圾随产随清的，应当按照方便贮存和保洁的原则，设置建筑垃圾临时贮存点，采取措施防止扬尘污染，并做到每5日内至少清运一次。</w:t>
            </w:r>
          </w:p>
          <w:p>
            <w:pPr>
              <w:widowControl/>
              <w:shd w:val="clear" w:color="auto" w:fill="FFFFFF"/>
              <w:spacing w:line="400" w:lineRule="exact"/>
              <w:ind w:firstLine="480" w:firstLineChars="200"/>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生活垃圾分类管理责任人发现居民未按照本条第一款的规定堆放建筑垃圾的，有权要求其改正；拒不改正的，生活垃圾分类管理责任人应当向城市管理综合执法部门报告。</w:t>
            </w:r>
          </w:p>
          <w:p>
            <w:pPr>
              <w:widowControl/>
              <w:shd w:val="clear" w:color="auto" w:fill="FFFFFF"/>
              <w:spacing w:line="400" w:lineRule="exact"/>
              <w:ind w:firstLine="481" w:firstLineChars="200"/>
              <w:jc w:val="left"/>
              <w:rPr>
                <w:rFonts w:ascii="仿宋_GB2312" w:hAnsi="仿宋" w:eastAsia="仿宋_GB2312" w:cs="仿宋"/>
                <w:color w:val="000000" w:themeColor="text1"/>
                <w:sz w:val="24"/>
              </w:rPr>
            </w:pPr>
            <w:r>
              <w:rPr>
                <w:rFonts w:hint="eastAsia" w:ascii="仿宋_GB2312" w:hAnsi="仿宋" w:eastAsia="仿宋_GB2312" w:cs="仿宋"/>
                <w:b/>
                <w:color w:val="000000" w:themeColor="text1"/>
                <w:sz w:val="24"/>
              </w:rPr>
              <w:t>第三十四条</w:t>
            </w:r>
            <w:r>
              <w:rPr>
                <w:rFonts w:hint="eastAsia" w:ascii="仿宋_GB2312" w:hAnsi="仿宋" w:eastAsia="仿宋_GB2312" w:cs="仿宋"/>
                <w:color w:val="000000" w:themeColor="text1"/>
                <w:sz w:val="24"/>
              </w:rPr>
              <w:t>　违反本规定第六条第二款规定，随意倾倒、抛撒或者堆放建筑垃圾的，由城市管理综合执法部门责令限期改正，给予警告，对单位处10万元以上100万元以下罚款，对产生建筑垃圾的个人处200元以下罚款。</w:t>
            </w:r>
          </w:p>
          <w:p>
            <w:pPr>
              <w:widowControl/>
              <w:shd w:val="clear" w:color="auto" w:fill="FFFFFF"/>
              <w:spacing w:line="400" w:lineRule="exact"/>
              <w:ind w:firstLine="200"/>
              <w:jc w:val="left"/>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　有前款行为，造成严重后果，尚不构成犯罪的，由公安机关依照《中华人民共和国固体废物污染环境防治法》的有关规定对法定代表人、主要负责人、直接负责的主管人员和其他责任人员处以拘留。</w:t>
            </w:r>
          </w:p>
          <w:p>
            <w:pPr>
              <w:widowControl/>
              <w:shd w:val="clear" w:color="auto" w:fill="FFFFFF"/>
              <w:spacing w:line="400" w:lineRule="exact"/>
              <w:ind w:firstLine="200"/>
              <w:jc w:val="left"/>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　单位违反本规定第六条第二款规定，将建筑垃圾与其他生活垃圾、危险废物混合的，由城市管理综合执法部门责令立即改正，处1000元罚款；再次违反规定的，处1万元以上5万元以下罚款。</w:t>
            </w:r>
          </w:p>
          <w:p>
            <w:pPr>
              <w:widowControl/>
              <w:shd w:val="clear" w:color="auto" w:fill="FFFFFF"/>
              <w:spacing w:line="400" w:lineRule="exact"/>
              <w:ind w:firstLine="200"/>
              <w:jc w:val="left"/>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　个人违反本规定第六条第二款规定，将建筑垃圾与其他生活垃圾、危险废物混合的，由生活垃圾分类管理责任人进行劝阻；对拒不听从劝阻的，生活垃圾分类管理责任人应当向城市管理综合执法部门报告，由城市管理综合执法部门给予书面警告，再次违反规定的，处50元以上200元以下罚款。</w:t>
            </w:r>
          </w:p>
          <w:p>
            <w:pPr>
              <w:widowControl/>
              <w:shd w:val="clear" w:color="auto" w:fill="FFFFFF"/>
              <w:spacing w:line="400" w:lineRule="exact"/>
              <w:ind w:firstLine="481" w:firstLineChars="200"/>
              <w:jc w:val="left"/>
              <w:rPr>
                <w:rFonts w:ascii="仿宋_GB2312" w:hAnsi="仿宋" w:eastAsia="仿宋_GB2312" w:cs="仿宋"/>
                <w:color w:val="000000" w:themeColor="text1"/>
                <w:sz w:val="24"/>
              </w:rPr>
            </w:pPr>
            <w:r>
              <w:rPr>
                <w:rFonts w:hint="eastAsia" w:ascii="仿宋_GB2312" w:hAnsi="仿宋" w:eastAsia="仿宋_GB2312" w:cs="仿宋"/>
                <w:b/>
                <w:color w:val="000000" w:themeColor="text1"/>
                <w:sz w:val="24"/>
              </w:rPr>
              <w:t>第三十五条</w:t>
            </w:r>
            <w:r>
              <w:rPr>
                <w:rFonts w:hint="eastAsia" w:ascii="仿宋_GB2312" w:hAnsi="仿宋" w:eastAsia="仿宋_GB2312" w:cs="仿宋"/>
                <w:color w:val="000000" w:themeColor="text1"/>
                <w:sz w:val="24"/>
              </w:rPr>
              <w:t>　违反本规定第十条第二款规定，生活垃圾分类管理责任人未制定居民装饰装修产生的建筑垃圾的治理方案，或者未明确建筑垃圾投放规范、时间和地点、监督投诉方式等事项的，由城市管理综合执法部门责令立即改正，处3000元以上3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76" w:hRule="atLeast"/>
          <w:jc w:val="center"/>
        </w:trPr>
        <w:tc>
          <w:tcPr>
            <w:tcW w:w="2213" w:type="dxa"/>
            <w:vMerge w:val="continue"/>
            <w:tcBorders>
              <w:tl2br w:val="nil"/>
              <w:tr2bl w:val="nil"/>
            </w:tcBorders>
            <w:vAlign w:val="center"/>
          </w:tcPr>
          <w:p>
            <w:pPr>
              <w:snapToGrid w:val="0"/>
              <w:jc w:val="center"/>
              <w:rPr>
                <w:rFonts w:ascii="宋体" w:hAnsi="宋体" w:cs="宋体"/>
                <w:color w:val="000000" w:themeColor="text1"/>
                <w:szCs w:val="21"/>
              </w:rPr>
            </w:pPr>
          </w:p>
        </w:tc>
        <w:tc>
          <w:tcPr>
            <w:tcW w:w="1812" w:type="dxa"/>
            <w:tcBorders>
              <w:tl2br w:val="nil"/>
              <w:tr2bl w:val="nil"/>
            </w:tcBorders>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（四）建筑垃圾的处理费用</w:t>
            </w:r>
          </w:p>
        </w:tc>
        <w:tc>
          <w:tcPr>
            <w:tcW w:w="1800" w:type="dxa"/>
            <w:tcBorders>
              <w:tl2br w:val="nil"/>
              <w:tr2bl w:val="nil"/>
            </w:tcBorders>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《北京市建筑垃圾处置管理规定》</w:t>
            </w:r>
          </w:p>
        </w:tc>
        <w:tc>
          <w:tcPr>
            <w:tcW w:w="8506" w:type="dxa"/>
            <w:tcBorders>
              <w:tl2br w:val="nil"/>
              <w:tr2bl w:val="nil"/>
            </w:tcBorders>
            <w:vAlign w:val="center"/>
          </w:tcPr>
          <w:p>
            <w:pPr>
              <w:pStyle w:val="23"/>
              <w:shd w:val="clear" w:color="auto" w:fill="FFFFFF"/>
              <w:spacing w:before="0" w:beforeAutospacing="0" w:after="0" w:afterAutospacing="0" w:line="400" w:lineRule="exact"/>
              <w:ind w:firstLine="481" w:firstLineChars="200"/>
              <w:jc w:val="both"/>
              <w:rPr>
                <w:rFonts w:ascii="仿宋_GB2312" w:hAnsi="仿宋" w:eastAsia="仿宋_GB2312" w:cs="仿宋"/>
                <w:b/>
                <w:bCs/>
                <w:color w:val="000000" w:themeColor="text1"/>
                <w:kern w:val="2"/>
              </w:rPr>
            </w:pPr>
            <w:r>
              <w:rPr>
                <w:rFonts w:hint="eastAsia" w:ascii="仿宋_GB2312" w:hAnsi="仿宋" w:eastAsia="仿宋_GB2312" w:cs="仿宋"/>
                <w:b/>
                <w:bCs/>
                <w:color w:val="000000" w:themeColor="text1"/>
              </w:rPr>
              <w:t>第四十条</w:t>
            </w:r>
            <w:r>
              <w:rPr>
                <w:rFonts w:hint="eastAsia" w:ascii="仿宋_GB2312" w:hAnsi="仿宋" w:eastAsia="仿宋_GB2312" w:cs="仿宋"/>
                <w:color w:val="000000" w:themeColor="text1"/>
              </w:rPr>
              <w:t>　居民对装饰装修过程中产生的建筑垃圾，应当承担处理费用；生活垃圾分类管理责任人应当依法办理渣土消纳许可。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56" w:hRule="atLeast"/>
          <w:jc w:val="center"/>
        </w:trPr>
        <w:tc>
          <w:tcPr>
            <w:tcW w:w="2213" w:type="dxa"/>
            <w:vMerge w:val="restart"/>
            <w:tcBorders>
              <w:tl2br w:val="nil"/>
              <w:tr2bl w:val="nil"/>
            </w:tcBorders>
            <w:vAlign w:val="center"/>
          </w:tcPr>
          <w:p>
            <w:pPr>
              <w:widowControl/>
              <w:snapToGrid w:val="0"/>
              <w:spacing w:line="360" w:lineRule="exact"/>
              <w:jc w:val="center"/>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三、垃圾分类</w:t>
            </w:r>
          </w:p>
        </w:tc>
        <w:tc>
          <w:tcPr>
            <w:tcW w:w="1812" w:type="dxa"/>
            <w:tcBorders>
              <w:tl2br w:val="nil"/>
              <w:tr2bl w:val="nil"/>
            </w:tcBorders>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（一）物业企业未开展宣传或未指定专人负责指导、监督垃圾分类工作</w:t>
            </w:r>
          </w:p>
        </w:tc>
        <w:tc>
          <w:tcPr>
            <w:tcW w:w="1800" w:type="dxa"/>
            <w:tcBorders>
              <w:tl2br w:val="nil"/>
              <w:tr2bl w:val="nil"/>
            </w:tcBorders>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《北京市生活垃圾管理条例》</w:t>
            </w:r>
          </w:p>
        </w:tc>
        <w:tc>
          <w:tcPr>
            <w:tcW w:w="8506" w:type="dxa"/>
            <w:tcBorders>
              <w:tl2br w:val="nil"/>
              <w:tr2bl w:val="nil"/>
            </w:tcBorders>
            <w:vAlign w:val="center"/>
          </w:tcPr>
          <w:p>
            <w:pPr>
              <w:pStyle w:val="47"/>
              <w:snapToGrid w:val="0"/>
              <w:spacing w:after="0" w:line="400" w:lineRule="exact"/>
              <w:ind w:left="0" w:leftChars="0" w:firstLine="482"/>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szCs w:val="21"/>
              </w:rPr>
              <w:t>第三十五条第二款</w:t>
            </w:r>
            <w:r>
              <w:rPr>
                <w:rFonts w:hint="eastAsia" w:ascii="仿宋_GB2312" w:hAnsi="仿宋" w:eastAsia="仿宋_GB2312" w:cs="仿宋"/>
                <w:color w:val="000000" w:themeColor="text1"/>
                <w:kern w:val="0"/>
                <w:sz w:val="24"/>
                <w:szCs w:val="21"/>
              </w:rPr>
              <w:t>　生活垃圾分类管理责任人应当遵守下列规定：</w:t>
            </w:r>
            <w:r>
              <w:rPr>
                <w:rFonts w:hint="eastAsia" w:ascii="仿宋_GB2312" w:hAnsi="仿宋" w:eastAsia="仿宋_GB2312" w:cs="仿宋"/>
                <w:color w:val="000000" w:themeColor="text1"/>
                <w:kern w:val="0"/>
                <w:sz w:val="24"/>
                <w:szCs w:val="21"/>
              </w:rPr>
              <w:br w:type="textWrapping"/>
            </w:r>
            <w:r>
              <w:rPr>
                <w:rFonts w:hint="eastAsia" w:ascii="仿宋_GB2312" w:hAnsi="仿宋" w:eastAsia="仿宋_GB2312" w:cs="仿宋"/>
                <w:color w:val="000000" w:themeColor="text1"/>
                <w:kern w:val="0"/>
                <w:sz w:val="24"/>
                <w:szCs w:val="21"/>
              </w:rPr>
              <w:t>　　（二）在责任范围内开展生活垃圾分类知识宣传，指定专人负责指导、监督</w:t>
            </w:r>
            <w:r>
              <w:rPr>
                <w:rFonts w:hint="eastAsia" w:ascii="仿宋_GB2312" w:hAnsi="仿宋" w:eastAsia="仿宋_GB2312" w:cs="仿宋"/>
                <w:color w:val="000000" w:themeColor="text1"/>
                <w:kern w:val="0"/>
                <w:sz w:val="24"/>
              </w:rPr>
              <w:t>单位和个人进行生活垃圾分类；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2213" w:type="dxa"/>
            <w:vMerge w:val="continue"/>
            <w:tcBorders>
              <w:tl2br w:val="nil"/>
              <w:tr2bl w:val="nil"/>
            </w:tcBorders>
            <w:vAlign w:val="center"/>
          </w:tcPr>
          <w:p>
            <w:pPr>
              <w:snapToGrid w:val="0"/>
              <w:jc w:val="center"/>
              <w:rPr>
                <w:rFonts w:ascii="宋体" w:hAnsi="宋体" w:cs="宋体"/>
                <w:color w:val="000000" w:themeColor="text1"/>
                <w:szCs w:val="21"/>
              </w:rPr>
            </w:pPr>
          </w:p>
        </w:tc>
        <w:tc>
          <w:tcPr>
            <w:tcW w:w="1812" w:type="dxa"/>
            <w:tcBorders>
              <w:tl2br w:val="nil"/>
              <w:tr2bl w:val="nil"/>
            </w:tcBorders>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（二）单位和个人未按规定分类投放生活垃圾</w:t>
            </w:r>
          </w:p>
        </w:tc>
        <w:tc>
          <w:tcPr>
            <w:tcW w:w="1800" w:type="dxa"/>
            <w:tcBorders>
              <w:tl2br w:val="nil"/>
              <w:tr2bl w:val="nil"/>
            </w:tcBorders>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《北京市生活垃圾管理条例》</w:t>
            </w:r>
          </w:p>
        </w:tc>
        <w:tc>
          <w:tcPr>
            <w:tcW w:w="8506" w:type="dxa"/>
            <w:tcBorders>
              <w:tl2br w:val="nil"/>
              <w:tr2bl w:val="nil"/>
            </w:tcBorders>
            <w:vAlign w:val="center"/>
          </w:tcPr>
          <w:p>
            <w:pPr>
              <w:pStyle w:val="23"/>
              <w:shd w:val="clear" w:color="auto" w:fill="FFFFFF"/>
              <w:spacing w:before="0" w:beforeAutospacing="0" w:after="0" w:afterAutospacing="0" w:line="400" w:lineRule="exact"/>
              <w:ind w:firstLine="482"/>
              <w:rPr>
                <w:rFonts w:ascii="仿宋_GB2312" w:hAnsi="Times New Roman" w:eastAsia="仿宋_GB2312" w:cs="Times New Roman"/>
                <w:color w:val="000000" w:themeColor="text1"/>
              </w:rPr>
            </w:pPr>
            <w:r>
              <w:rPr>
                <w:rFonts w:hint="eastAsia" w:ascii="仿宋_GB2312" w:hAnsi="Times New Roman" w:eastAsia="仿宋_GB2312" w:cs="Times New Roman"/>
                <w:b/>
                <w:bCs/>
                <w:color w:val="000000" w:themeColor="text1"/>
                <w:szCs w:val="21"/>
              </w:rPr>
              <w:t>第三十四条</w:t>
            </w:r>
            <w:r>
              <w:rPr>
                <w:rFonts w:hint="eastAsia" w:ascii="仿宋_GB2312" w:hAnsi="Times New Roman" w:eastAsia="仿宋_GB2312" w:cs="Times New Roman"/>
                <w:color w:val="000000" w:themeColor="text1"/>
                <w:szCs w:val="21"/>
              </w:rPr>
              <w:t>　产生生活垃圾的单位和个人是生活垃圾分类投放的责任主体，应当按照下列规定分类投放生活垃圾：</w:t>
            </w:r>
            <w:r>
              <w:rPr>
                <w:rFonts w:hint="eastAsia" w:ascii="仿宋_GB2312" w:hAnsi="Times New Roman" w:eastAsia="仿宋_GB2312" w:cs="Times New Roman"/>
                <w:color w:val="000000" w:themeColor="text1"/>
                <w:szCs w:val="21"/>
              </w:rPr>
              <w:br w:type="textWrapping"/>
            </w:r>
            <w:r>
              <w:rPr>
                <w:rFonts w:hint="eastAsia" w:ascii="仿宋_GB2312" w:hAnsi="Times New Roman" w:eastAsia="仿宋_GB2312" w:cs="Times New Roman"/>
                <w:color w:val="000000" w:themeColor="text1"/>
                <w:szCs w:val="21"/>
              </w:rPr>
              <w:t>　　</w:t>
            </w:r>
            <w:r>
              <w:rPr>
                <w:rFonts w:hint="eastAsia" w:ascii="仿宋_GB2312" w:hAnsi="Times New Roman" w:eastAsia="仿宋_GB2312" w:cs="Times New Roman"/>
                <w:color w:val="000000" w:themeColor="text1"/>
              </w:rPr>
              <w:t>（一）按照厨余垃圾、可回收物、有害垃圾、其他垃圾的分类，分别投入相应标识的收集容器；</w:t>
            </w:r>
          </w:p>
          <w:p>
            <w:pPr>
              <w:widowControl/>
              <w:shd w:val="clear" w:color="auto" w:fill="FFFFFF"/>
              <w:spacing w:line="400" w:lineRule="exact"/>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　　（二）废旧家具家电等体积较大的废弃物品，单独堆放在生活垃圾分类管理责任人指定的地点；</w:t>
            </w:r>
          </w:p>
          <w:p>
            <w:pPr>
              <w:widowControl/>
              <w:shd w:val="clear" w:color="auto" w:fill="FFFFFF"/>
              <w:spacing w:line="400" w:lineRule="exact"/>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　　（三）农村村民日常生活中产生的灰土单独投放在相应的容器或者生活垃圾分类管理责任人指定的地点；</w:t>
            </w:r>
          </w:p>
          <w:p>
            <w:pPr>
              <w:widowControl/>
              <w:shd w:val="clear" w:color="auto" w:fill="FFFFFF"/>
              <w:spacing w:line="400" w:lineRule="exact"/>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　　（四）国家和本市有关生活垃圾分类投放的其他规定。</w:t>
            </w:r>
          </w:p>
          <w:p>
            <w:pPr>
              <w:widowControl/>
              <w:shd w:val="clear" w:color="auto" w:fill="FFFFFF"/>
              <w:spacing w:line="400" w:lineRule="exact"/>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　　居民装饰装修房屋过程中产生的建筑垃圾，按照生活垃圾分类管理责任人指定的时间、地点和要求单独堆放。</w:t>
            </w:r>
          </w:p>
          <w:p>
            <w:pPr>
              <w:pStyle w:val="47"/>
              <w:snapToGrid w:val="0"/>
              <w:spacing w:after="0" w:line="400" w:lineRule="exact"/>
              <w:ind w:left="0" w:leftChars="0" w:firstLine="482"/>
              <w:rPr>
                <w:rFonts w:ascii="仿宋_GB2312" w:hAnsi="仿宋" w:eastAsia="仿宋_GB2312" w:cs="仿宋"/>
                <w:color w:val="000000" w:themeColor="text1"/>
                <w:kern w:val="0"/>
                <w:sz w:val="24"/>
                <w:szCs w:val="21"/>
              </w:rPr>
            </w:pPr>
            <w:r>
              <w:rPr>
                <w:rFonts w:hint="eastAsia" w:ascii="仿宋_GB2312" w:hAnsi="仿宋" w:eastAsia="仿宋_GB2312" w:cs="仿宋"/>
                <w:b/>
                <w:bCs/>
                <w:color w:val="000000" w:themeColor="text1"/>
                <w:kern w:val="0"/>
                <w:sz w:val="24"/>
                <w:szCs w:val="21"/>
              </w:rPr>
              <w:t>第六十八条</w:t>
            </w:r>
            <w:r>
              <w:rPr>
                <w:rFonts w:hint="eastAsia" w:ascii="仿宋_GB2312" w:hAnsi="仿宋" w:eastAsia="仿宋_GB2312" w:cs="仿宋"/>
                <w:color w:val="000000" w:themeColor="text1"/>
                <w:kern w:val="0"/>
                <w:sz w:val="24"/>
                <w:szCs w:val="21"/>
              </w:rPr>
              <w:t>　单位违反本条例第三十四条第一款规定，由城市管理综合执法部门责令立即改正，情节严重的，处五万元以上五十万元以下罚款。</w:t>
            </w:r>
            <w:r>
              <w:rPr>
                <w:rFonts w:hint="eastAsia" w:ascii="仿宋_GB2312" w:hAnsi="仿宋" w:eastAsia="仿宋_GB2312" w:cs="仿宋"/>
                <w:color w:val="000000" w:themeColor="text1"/>
                <w:kern w:val="0"/>
                <w:sz w:val="24"/>
                <w:szCs w:val="21"/>
              </w:rPr>
              <w:br w:type="textWrapping"/>
            </w:r>
            <w:r>
              <w:rPr>
                <w:rFonts w:hint="eastAsia" w:ascii="仿宋_GB2312" w:hAnsi="仿宋" w:eastAsia="仿宋_GB2312" w:cs="仿宋"/>
                <w:color w:val="000000" w:themeColor="text1"/>
                <w:kern w:val="0"/>
                <w:sz w:val="24"/>
                <w:szCs w:val="21"/>
              </w:rPr>
              <w:t>　　个人违反本条例第三十四条规定，由生活垃圾分类管理责任人进行劝阻；对拒不听从劝阻的，生活垃圾分类管理责任人应当向城市管理综合执法部门报告，由城市管理综合执法部门给予书面警告；再次违反规定的，处五十元以上二百元以下罚款。</w:t>
            </w:r>
          </w:p>
          <w:p>
            <w:pPr>
              <w:pStyle w:val="47"/>
              <w:snapToGrid w:val="0"/>
              <w:spacing w:after="0" w:line="400" w:lineRule="exact"/>
              <w:ind w:left="0" w:leftChars="0" w:firstLine="480"/>
              <w:rPr>
                <w:rFonts w:ascii="仿宋_GB2312" w:hAnsi="仿宋" w:eastAsia="仿宋_GB2312" w:cs="仿宋"/>
                <w:color w:val="000000" w:themeColor="text1"/>
                <w:kern w:val="0"/>
                <w:sz w:val="24"/>
                <w:szCs w:val="21"/>
              </w:rPr>
            </w:pPr>
            <w:r>
              <w:rPr>
                <w:rFonts w:hint="eastAsia" w:ascii="仿宋_GB2312" w:hAnsi="仿宋" w:eastAsia="仿宋_GB2312" w:cs="仿宋"/>
                <w:color w:val="000000" w:themeColor="text1"/>
                <w:kern w:val="0"/>
                <w:sz w:val="24"/>
                <w:szCs w:val="21"/>
              </w:rPr>
              <w:t>依据前款规定应当受到处罚的个人，自愿参加生活垃圾分类等社区服务活动的，不予行政处罚。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55" w:hRule="atLeast"/>
          <w:jc w:val="center"/>
        </w:trPr>
        <w:tc>
          <w:tcPr>
            <w:tcW w:w="2213" w:type="dxa"/>
            <w:vMerge w:val="continue"/>
            <w:tcBorders>
              <w:tl2br w:val="nil"/>
              <w:tr2bl w:val="nil"/>
            </w:tcBorders>
            <w:vAlign w:val="center"/>
          </w:tcPr>
          <w:p>
            <w:pPr>
              <w:snapToGrid w:val="0"/>
              <w:jc w:val="center"/>
              <w:rPr>
                <w:rFonts w:ascii="宋体" w:hAnsi="宋体" w:cs="宋体"/>
                <w:color w:val="000000" w:themeColor="text1"/>
                <w:szCs w:val="21"/>
              </w:rPr>
            </w:pPr>
          </w:p>
        </w:tc>
        <w:tc>
          <w:tcPr>
            <w:tcW w:w="1812" w:type="dxa"/>
            <w:tcBorders>
              <w:tl2br w:val="nil"/>
              <w:tr2bl w:val="nil"/>
            </w:tcBorders>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（三）物业企业未及时制止翻拣、混合已分类生活垃圾</w:t>
            </w:r>
          </w:p>
        </w:tc>
        <w:tc>
          <w:tcPr>
            <w:tcW w:w="1800" w:type="dxa"/>
            <w:tcBorders>
              <w:tl2br w:val="nil"/>
              <w:tr2bl w:val="nil"/>
            </w:tcBorders>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《北京市生活垃圾管理条例》</w:t>
            </w:r>
          </w:p>
        </w:tc>
        <w:tc>
          <w:tcPr>
            <w:tcW w:w="8506" w:type="dxa"/>
            <w:tcBorders>
              <w:tl2br w:val="nil"/>
              <w:tr2bl w:val="nil"/>
            </w:tcBorders>
            <w:vAlign w:val="center"/>
          </w:tcPr>
          <w:p>
            <w:pPr>
              <w:pStyle w:val="47"/>
              <w:snapToGrid w:val="0"/>
              <w:spacing w:after="0" w:line="400" w:lineRule="exact"/>
              <w:ind w:left="0" w:leftChars="0" w:firstLine="482"/>
              <w:rPr>
                <w:rFonts w:ascii="仿宋_GB2312" w:hAnsi="仿宋" w:eastAsia="仿宋_GB2312" w:cs="仿宋"/>
                <w:color w:val="000000" w:themeColor="text1"/>
                <w:kern w:val="0"/>
                <w:sz w:val="24"/>
                <w:szCs w:val="21"/>
              </w:rPr>
            </w:pPr>
            <w:r>
              <w:rPr>
                <w:rFonts w:hint="eastAsia" w:ascii="仿宋_GB2312" w:hAnsi="仿宋" w:eastAsia="仿宋_GB2312" w:cs="仿宋"/>
                <w:b/>
                <w:bCs/>
                <w:color w:val="000000" w:themeColor="text1"/>
                <w:kern w:val="0"/>
                <w:sz w:val="24"/>
                <w:szCs w:val="21"/>
              </w:rPr>
              <w:t>第三十六条第六款</w:t>
            </w:r>
            <w:r>
              <w:rPr>
                <w:rFonts w:hint="eastAsia" w:ascii="仿宋_GB2312" w:hAnsi="仿宋" w:eastAsia="仿宋_GB2312" w:cs="仿宋"/>
                <w:color w:val="000000" w:themeColor="text1"/>
                <w:kern w:val="0"/>
                <w:sz w:val="24"/>
                <w:szCs w:val="21"/>
              </w:rPr>
              <w:t>　生活垃圾分类管理责任人应当遵守下列规定：</w:t>
            </w:r>
            <w:r>
              <w:rPr>
                <w:rFonts w:hint="eastAsia" w:ascii="仿宋_GB2312" w:hAnsi="仿宋" w:eastAsia="仿宋_GB2312" w:cs="仿宋"/>
                <w:color w:val="000000" w:themeColor="text1"/>
                <w:kern w:val="0"/>
                <w:sz w:val="24"/>
                <w:szCs w:val="21"/>
              </w:rPr>
              <w:br w:type="textWrapping"/>
            </w:r>
            <w:r>
              <w:rPr>
                <w:rFonts w:hint="eastAsia" w:ascii="仿宋_GB2312" w:hAnsi="仿宋" w:eastAsia="仿宋_GB2312" w:cs="仿宋"/>
                <w:color w:val="000000" w:themeColor="text1"/>
                <w:kern w:val="0"/>
                <w:sz w:val="24"/>
                <w:szCs w:val="21"/>
              </w:rPr>
              <w:t>　　（六）及时制止翻拣、混合已分类的生活垃圾的行为；</w:t>
            </w:r>
          </w:p>
          <w:p>
            <w:pPr>
              <w:pStyle w:val="47"/>
              <w:snapToGrid w:val="0"/>
              <w:spacing w:after="0" w:line="400" w:lineRule="exact"/>
              <w:ind w:left="0" w:leftChars="0" w:firstLine="482"/>
              <w:rPr>
                <w:rFonts w:ascii="仿宋_GB2312" w:hAnsi="仿宋" w:eastAsia="仿宋_GB2312" w:cs="仿宋"/>
                <w:color w:val="000000" w:themeColor="text1"/>
                <w:kern w:val="0"/>
                <w:sz w:val="24"/>
                <w:szCs w:val="21"/>
              </w:rPr>
            </w:pPr>
            <w:r>
              <w:rPr>
                <w:rFonts w:hint="eastAsia" w:ascii="仿宋_GB2312" w:hAnsi="仿宋" w:eastAsia="仿宋_GB2312" w:cs="仿宋"/>
                <w:b/>
                <w:bCs/>
                <w:color w:val="000000" w:themeColor="text1"/>
                <w:kern w:val="0"/>
                <w:sz w:val="24"/>
                <w:szCs w:val="21"/>
              </w:rPr>
              <w:t>第六十九条</w:t>
            </w:r>
            <w:r>
              <w:rPr>
                <w:rFonts w:hint="eastAsia" w:ascii="仿宋_GB2312" w:hAnsi="仿宋" w:eastAsia="仿宋_GB2312" w:cs="仿宋"/>
                <w:color w:val="000000" w:themeColor="text1"/>
                <w:kern w:val="0"/>
                <w:sz w:val="24"/>
                <w:szCs w:val="21"/>
              </w:rPr>
              <w:t>　生活垃圾分类管理责任人违反本条例第三十五条第一款第（一）项、第（二）项、第（三）项、第（四）项、第（六）项规定的，由城市管理综合执法部门责令立即改正，处3000元以上3万元以下罚款。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99" w:hRule="atLeast"/>
          <w:jc w:val="center"/>
        </w:trPr>
        <w:tc>
          <w:tcPr>
            <w:tcW w:w="2213" w:type="dxa"/>
            <w:vMerge w:val="restart"/>
            <w:tcBorders>
              <w:tl2br w:val="nil"/>
              <w:tr2bl w:val="nil"/>
            </w:tcBorders>
            <w:vAlign w:val="center"/>
          </w:tcPr>
          <w:p>
            <w:pPr>
              <w:widowControl/>
              <w:snapToGrid w:val="0"/>
              <w:spacing w:line="360" w:lineRule="exact"/>
              <w:jc w:val="center"/>
              <w:textAlignment w:val="center"/>
              <w:rPr>
                <w:rFonts w:ascii="宋体" w:hAnsi="宋体" w:cs="宋体"/>
                <w:color w:val="000000" w:themeColor="text1"/>
                <w:szCs w:val="21"/>
              </w:rPr>
            </w:pPr>
            <w:r>
              <w:rPr>
                <w:rFonts w:hint="eastAsia" w:ascii="仿宋_GB2312" w:hAnsi="仿宋" w:eastAsia="仿宋_GB2312" w:cs="仿宋"/>
                <w:color w:val="000000" w:themeColor="text1"/>
                <w:sz w:val="24"/>
                <w:szCs w:val="21"/>
              </w:rPr>
              <w:t>四、垃圾清运</w:t>
            </w:r>
          </w:p>
        </w:tc>
        <w:tc>
          <w:tcPr>
            <w:tcW w:w="1812" w:type="dxa"/>
            <w:tcBorders>
              <w:tl2br w:val="nil"/>
              <w:tr2bl w:val="nil"/>
            </w:tcBorders>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（一）收集、运输生活垃圾规定</w:t>
            </w:r>
          </w:p>
        </w:tc>
        <w:tc>
          <w:tcPr>
            <w:tcW w:w="1800" w:type="dxa"/>
            <w:tcBorders>
              <w:tl2br w:val="nil"/>
              <w:tr2bl w:val="nil"/>
            </w:tcBorders>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《北京市生活垃圾管理条例》</w:t>
            </w:r>
          </w:p>
        </w:tc>
        <w:tc>
          <w:tcPr>
            <w:tcW w:w="8506" w:type="dxa"/>
            <w:tcBorders>
              <w:tl2br w:val="nil"/>
              <w:tr2bl w:val="nil"/>
            </w:tcBorders>
            <w:vAlign w:val="center"/>
          </w:tcPr>
          <w:p>
            <w:pPr>
              <w:widowControl/>
              <w:shd w:val="clear" w:color="auto" w:fill="FFFFFF"/>
              <w:spacing w:line="400" w:lineRule="exact"/>
              <w:ind w:firstLine="481" w:firstLineChars="200"/>
              <w:jc w:val="left"/>
              <w:rPr>
                <w:rFonts w:ascii="仿宋_GB2312" w:hAnsi="微软雅黑" w:eastAsia="仿宋_GB2312" w:cs="宋体"/>
                <w:color w:val="000000" w:themeColor="text1"/>
                <w:kern w:val="0"/>
                <w:sz w:val="24"/>
              </w:rPr>
            </w:pPr>
            <w:r>
              <w:rPr>
                <w:rFonts w:hint="eastAsia" w:ascii="仿宋_GB2312" w:hAnsi="微软雅黑" w:eastAsia="仿宋_GB2312" w:cs="宋体"/>
                <w:b/>
                <w:bCs/>
                <w:color w:val="000000" w:themeColor="text1"/>
                <w:kern w:val="0"/>
                <w:sz w:val="24"/>
              </w:rPr>
              <w:t>第四十五条</w:t>
            </w:r>
            <w:r>
              <w:rPr>
                <w:rFonts w:hint="eastAsia" w:ascii="仿宋_GB2312" w:hAnsi="微软雅黑" w:eastAsia="仿宋_GB2312" w:cs="宋体"/>
                <w:color w:val="000000" w:themeColor="text1"/>
                <w:kern w:val="0"/>
                <w:sz w:val="24"/>
              </w:rPr>
              <w:t>　收集、运输生活垃圾的单位应当遵守下列规定：</w:t>
            </w:r>
          </w:p>
          <w:p>
            <w:pPr>
              <w:widowControl/>
              <w:shd w:val="clear" w:color="auto" w:fill="FFFFFF"/>
              <w:spacing w:line="400" w:lineRule="exact"/>
              <w:ind w:firstLine="480" w:firstLineChars="200"/>
              <w:jc w:val="left"/>
              <w:rPr>
                <w:rFonts w:ascii="仿宋_GB2312" w:hAnsi="微软雅黑" w:eastAsia="仿宋_GB2312" w:cs="宋体"/>
                <w:color w:val="000000" w:themeColor="text1"/>
                <w:kern w:val="0"/>
                <w:sz w:val="24"/>
              </w:rPr>
            </w:pPr>
            <w:r>
              <w:rPr>
                <w:rFonts w:hint="eastAsia" w:ascii="仿宋_GB2312" w:hAnsi="微软雅黑" w:eastAsia="仿宋_GB2312" w:cs="宋体"/>
                <w:color w:val="000000" w:themeColor="text1"/>
                <w:kern w:val="0"/>
                <w:sz w:val="24"/>
              </w:rPr>
              <w:t>（一）按时、分类收集、运输不同种类的生活垃圾，根据生活垃圾收集量、分类方法、作业时间等因素，配备、使用符合标准的收集工具、运输车辆以及符合要求的人员；</w:t>
            </w:r>
          </w:p>
          <w:p>
            <w:pPr>
              <w:widowControl/>
              <w:shd w:val="clear" w:color="auto" w:fill="FFFFFF"/>
              <w:spacing w:line="400" w:lineRule="exact"/>
              <w:ind w:firstLine="480" w:firstLineChars="200"/>
              <w:jc w:val="left"/>
              <w:rPr>
                <w:rFonts w:ascii="仿宋_GB2312" w:hAnsi="微软雅黑" w:eastAsia="仿宋_GB2312" w:cs="宋体"/>
                <w:color w:val="000000" w:themeColor="text1"/>
                <w:kern w:val="0"/>
                <w:sz w:val="24"/>
              </w:rPr>
            </w:pPr>
            <w:r>
              <w:rPr>
                <w:rFonts w:hint="eastAsia" w:ascii="仿宋_GB2312" w:hAnsi="微软雅黑" w:eastAsia="仿宋_GB2312" w:cs="宋体"/>
                <w:color w:val="000000" w:themeColor="text1"/>
                <w:kern w:val="0"/>
                <w:sz w:val="24"/>
              </w:rPr>
              <w:t>（二）将生活垃圾分类运输至集中收集设施或者符合规定的转运、处理设施，不得混装混运，不得随意倾倒、丢弃、遗撒、堆放；</w:t>
            </w:r>
          </w:p>
          <w:p>
            <w:pPr>
              <w:widowControl/>
              <w:shd w:val="clear" w:color="auto" w:fill="FFFFFF"/>
              <w:spacing w:line="400" w:lineRule="exact"/>
              <w:ind w:firstLine="480" w:firstLineChars="200"/>
              <w:jc w:val="left"/>
              <w:rPr>
                <w:rFonts w:ascii="仿宋_GB2312" w:hAnsi="微软雅黑" w:eastAsia="仿宋_GB2312" w:cs="宋体"/>
                <w:color w:val="000000" w:themeColor="text1"/>
                <w:kern w:val="0"/>
                <w:sz w:val="24"/>
              </w:rPr>
            </w:pPr>
            <w:r>
              <w:rPr>
                <w:rFonts w:hint="eastAsia" w:ascii="仿宋_GB2312" w:hAnsi="微软雅黑" w:eastAsia="仿宋_GB2312" w:cs="宋体"/>
                <w:color w:val="000000" w:themeColor="text1"/>
                <w:kern w:val="0"/>
                <w:sz w:val="24"/>
              </w:rPr>
              <w:t>（三）建立生活垃圾管理台账，记录生活垃圾来源、种类、数量、去向等情况，并向区城市管理部门报告；</w:t>
            </w:r>
          </w:p>
          <w:p>
            <w:pPr>
              <w:widowControl/>
              <w:shd w:val="clear" w:color="auto" w:fill="FFFFFF"/>
              <w:spacing w:line="400" w:lineRule="exact"/>
              <w:ind w:firstLine="480" w:firstLineChars="200"/>
              <w:jc w:val="left"/>
              <w:rPr>
                <w:rFonts w:ascii="仿宋_GB2312" w:hAnsi="微软雅黑" w:eastAsia="仿宋_GB2312" w:cs="宋体"/>
                <w:color w:val="000000" w:themeColor="text1"/>
                <w:kern w:val="0"/>
                <w:sz w:val="24"/>
              </w:rPr>
            </w:pPr>
            <w:r>
              <w:rPr>
                <w:rFonts w:hint="eastAsia" w:ascii="仿宋_GB2312" w:hAnsi="微软雅黑" w:eastAsia="仿宋_GB2312" w:cs="宋体"/>
                <w:color w:val="000000" w:themeColor="text1"/>
                <w:kern w:val="0"/>
                <w:sz w:val="24"/>
              </w:rPr>
              <w:t>（四）国家和本市的其他规定。</w:t>
            </w:r>
          </w:p>
          <w:p>
            <w:pPr>
              <w:widowControl/>
              <w:shd w:val="clear" w:color="auto" w:fill="FFFFFF"/>
              <w:spacing w:line="400" w:lineRule="exact"/>
              <w:ind w:firstLine="480" w:firstLineChars="200"/>
              <w:jc w:val="left"/>
              <w:rPr>
                <w:rFonts w:ascii="仿宋_GB2312" w:hAnsi="微软雅黑" w:eastAsia="仿宋_GB2312" w:cs="宋体"/>
                <w:color w:val="000000" w:themeColor="text1"/>
                <w:kern w:val="0"/>
                <w:sz w:val="24"/>
              </w:rPr>
            </w:pPr>
            <w:r>
              <w:rPr>
                <w:rFonts w:hint="eastAsia" w:ascii="仿宋_GB2312" w:hAnsi="微软雅黑" w:eastAsia="仿宋_GB2312" w:cs="宋体"/>
                <w:color w:val="000000" w:themeColor="text1"/>
                <w:kern w:val="0"/>
                <w:sz w:val="24"/>
              </w:rPr>
              <w:t>生活垃圾收集、运输单位发现生活垃圾分类管理责任人所交运的生活垃圾不符合分类标准的，有权要求其改正；生活垃圾分类管理责任人拒不改正的，生活垃圾收集、运输单位应当向城市管理综合执法部门报告。</w:t>
            </w:r>
          </w:p>
          <w:p>
            <w:pPr>
              <w:widowControl/>
              <w:shd w:val="clear" w:color="auto" w:fill="FFFFFF"/>
              <w:spacing w:line="400" w:lineRule="exact"/>
              <w:ind w:firstLine="481" w:firstLineChars="200"/>
              <w:jc w:val="left"/>
              <w:rPr>
                <w:rFonts w:ascii="仿宋_GB2312" w:hAnsi="微软雅黑" w:eastAsia="仿宋_GB2312" w:cs="宋体"/>
                <w:color w:val="000000" w:themeColor="text1"/>
                <w:kern w:val="0"/>
                <w:sz w:val="24"/>
              </w:rPr>
            </w:pPr>
            <w:r>
              <w:rPr>
                <w:rFonts w:hint="eastAsia" w:ascii="仿宋_GB2312" w:hAnsi="微软雅黑" w:eastAsia="仿宋_GB2312" w:cs="宋体"/>
                <w:b/>
                <w:bCs/>
                <w:color w:val="000000" w:themeColor="text1"/>
                <w:kern w:val="0"/>
                <w:sz w:val="24"/>
              </w:rPr>
              <w:t>第七十一条</w:t>
            </w:r>
            <w:r>
              <w:rPr>
                <w:rFonts w:hint="eastAsia" w:ascii="仿宋_GB2312" w:hAnsi="微软雅黑" w:eastAsia="仿宋_GB2312" w:cs="宋体"/>
                <w:color w:val="000000" w:themeColor="text1"/>
                <w:kern w:val="0"/>
                <w:sz w:val="24"/>
              </w:rPr>
              <w:t>　生活垃圾收集、运输单位违反本条例第四十五条第一款第（一）项规定的，由城市管理综合执法部门责令限期改正，处一万元以上三万元以下罚款；情节严重的，由城市管理综合执法部门吊销生活垃圾收集、运输经营许可证。</w:t>
            </w:r>
          </w:p>
          <w:p>
            <w:pPr>
              <w:widowControl/>
              <w:shd w:val="clear" w:color="auto" w:fill="FFFFFF"/>
              <w:spacing w:line="400" w:lineRule="exact"/>
              <w:ind w:firstLine="480" w:firstLineChars="200"/>
              <w:jc w:val="left"/>
              <w:rPr>
                <w:rFonts w:ascii="仿宋_GB2312" w:hAnsi="微软雅黑" w:eastAsia="仿宋_GB2312" w:cs="宋体"/>
                <w:color w:val="000000" w:themeColor="text1"/>
                <w:kern w:val="0"/>
                <w:sz w:val="24"/>
              </w:rPr>
            </w:pPr>
            <w:r>
              <w:rPr>
                <w:rFonts w:hint="eastAsia" w:ascii="仿宋_GB2312" w:hAnsi="微软雅黑" w:eastAsia="仿宋_GB2312" w:cs="宋体"/>
                <w:color w:val="000000" w:themeColor="text1"/>
                <w:kern w:val="0"/>
                <w:sz w:val="24"/>
              </w:rPr>
              <w:t>生活垃圾收集、运输单位违反本条例第四十五条第一款第（二）项规定的，由城市管理综合执法部门责令清除，处五万元以上五十万元以下罚款，没收违法所得；情节严重的，由城市管理综合执法部门吊销生活垃圾收集、运输经营许可证。</w:t>
            </w:r>
          </w:p>
          <w:p>
            <w:pPr>
              <w:widowControl/>
              <w:shd w:val="clear" w:color="auto" w:fill="FFFFFF"/>
              <w:spacing w:line="400" w:lineRule="exact"/>
              <w:ind w:firstLine="480" w:firstLineChars="200"/>
              <w:jc w:val="left"/>
              <w:rPr>
                <w:rFonts w:ascii="仿宋_GB2312" w:hAnsi="微软雅黑" w:eastAsia="仿宋_GB2312" w:cs="宋体"/>
                <w:color w:val="000000" w:themeColor="text1"/>
                <w:kern w:val="0"/>
                <w:sz w:val="24"/>
              </w:rPr>
            </w:pPr>
            <w:r>
              <w:rPr>
                <w:rFonts w:hint="eastAsia" w:ascii="仿宋_GB2312" w:hAnsi="微软雅黑" w:eastAsia="仿宋_GB2312" w:cs="宋体"/>
                <w:color w:val="000000" w:themeColor="text1"/>
                <w:kern w:val="0"/>
                <w:sz w:val="24"/>
              </w:rPr>
              <w:t>生活垃圾收集、运输单位违反本条例第四十五条第一款第（三）项规定的，由城市管理综合执法部门责令限期改正，处一千元以上一万元以下罚款；情节严重的，由城市管理综合执法部门吊销生活垃圾收集、运输经营许可证。</w:t>
            </w:r>
          </w:p>
          <w:p>
            <w:pPr>
              <w:pStyle w:val="2"/>
              <w:numPr>
                <w:ilvl w:val="0"/>
                <w:numId w:val="0"/>
              </w:numPr>
              <w:ind w:left="420"/>
              <w:rPr>
                <w:color w:val="000000" w:themeColor="text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16" w:hRule="atLeast"/>
          <w:jc w:val="center"/>
        </w:trPr>
        <w:tc>
          <w:tcPr>
            <w:tcW w:w="2213" w:type="dxa"/>
            <w:vMerge w:val="continue"/>
            <w:tcBorders>
              <w:tl2br w:val="nil"/>
              <w:tr2bl w:val="nil"/>
            </w:tcBorders>
            <w:vAlign w:val="center"/>
          </w:tcPr>
          <w:p>
            <w:pPr>
              <w:snapToGrid w:val="0"/>
              <w:jc w:val="center"/>
              <w:rPr>
                <w:rFonts w:ascii="宋体" w:hAnsi="宋体" w:eastAsia="宋体" w:cs="宋体"/>
                <w:color w:val="000000" w:themeColor="text1"/>
                <w:szCs w:val="21"/>
              </w:rPr>
            </w:pPr>
          </w:p>
        </w:tc>
        <w:tc>
          <w:tcPr>
            <w:tcW w:w="1812" w:type="dxa"/>
            <w:tcBorders>
              <w:tl2br w:val="nil"/>
              <w:tr2bl w:val="nil"/>
            </w:tcBorders>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（二）未按时、分类收集、运输生活垃圾</w:t>
            </w:r>
          </w:p>
        </w:tc>
        <w:tc>
          <w:tcPr>
            <w:tcW w:w="1800" w:type="dxa"/>
            <w:tcBorders>
              <w:tl2br w:val="nil"/>
              <w:tr2bl w:val="nil"/>
            </w:tcBorders>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《北京市生活垃圾管理条例》</w:t>
            </w:r>
          </w:p>
        </w:tc>
        <w:tc>
          <w:tcPr>
            <w:tcW w:w="8506" w:type="dxa"/>
            <w:tcBorders>
              <w:tl2br w:val="nil"/>
              <w:tr2bl w:val="nil"/>
            </w:tcBorders>
            <w:vAlign w:val="center"/>
          </w:tcPr>
          <w:p>
            <w:pPr>
              <w:pStyle w:val="47"/>
              <w:snapToGrid w:val="0"/>
              <w:spacing w:after="0" w:line="400" w:lineRule="exact"/>
              <w:ind w:left="0" w:leftChars="0" w:firstLine="482"/>
              <w:rPr>
                <w:rFonts w:ascii="仿宋_GB2312" w:hAnsi="仿宋" w:eastAsia="仿宋_GB2312" w:cs="仿宋"/>
                <w:b/>
                <w:bCs/>
                <w:color w:val="000000" w:themeColor="text1"/>
                <w:kern w:val="0"/>
                <w:sz w:val="24"/>
                <w:szCs w:val="21"/>
              </w:rPr>
            </w:pPr>
          </w:p>
          <w:p>
            <w:pPr>
              <w:pStyle w:val="47"/>
              <w:snapToGrid w:val="0"/>
              <w:spacing w:after="0" w:line="400" w:lineRule="exact"/>
              <w:ind w:left="0" w:leftChars="0" w:firstLine="482"/>
              <w:rPr>
                <w:rFonts w:ascii="仿宋_GB2312" w:hAnsi="仿宋" w:eastAsia="仿宋_GB2312" w:cs="仿宋"/>
                <w:color w:val="000000" w:themeColor="text1"/>
                <w:kern w:val="0"/>
                <w:sz w:val="24"/>
                <w:szCs w:val="21"/>
              </w:rPr>
            </w:pPr>
            <w:r>
              <w:rPr>
                <w:rFonts w:hint="eastAsia" w:ascii="仿宋_GB2312" w:hAnsi="仿宋" w:eastAsia="仿宋_GB2312" w:cs="仿宋"/>
                <w:b/>
                <w:bCs/>
                <w:color w:val="000000" w:themeColor="text1"/>
                <w:kern w:val="0"/>
                <w:sz w:val="24"/>
                <w:szCs w:val="21"/>
              </w:rPr>
              <w:t>第五十一条</w:t>
            </w:r>
            <w:r>
              <w:rPr>
                <w:rFonts w:hint="eastAsia" w:ascii="仿宋_GB2312" w:hAnsi="仿宋" w:eastAsia="仿宋_GB2312" w:cs="仿宋"/>
                <w:color w:val="000000" w:themeColor="text1"/>
                <w:kern w:val="0"/>
                <w:sz w:val="24"/>
                <w:szCs w:val="21"/>
              </w:rPr>
              <w:t>　生活垃圾集中转运、处理设施的运行管理单位应当遵守下列规定：</w:t>
            </w:r>
            <w:r>
              <w:rPr>
                <w:rFonts w:hint="eastAsia" w:ascii="仿宋_GB2312" w:hAnsi="仿宋" w:eastAsia="仿宋_GB2312" w:cs="仿宋"/>
                <w:color w:val="000000" w:themeColor="text1"/>
                <w:kern w:val="0"/>
                <w:sz w:val="24"/>
                <w:szCs w:val="21"/>
              </w:rPr>
              <w:br w:type="textWrapping"/>
            </w:r>
            <w:r>
              <w:rPr>
                <w:rFonts w:hint="eastAsia" w:ascii="仿宋_GB2312" w:hAnsi="仿宋" w:eastAsia="仿宋_GB2312" w:cs="仿宋"/>
                <w:color w:val="000000" w:themeColor="text1"/>
                <w:kern w:val="0"/>
                <w:sz w:val="24"/>
                <w:szCs w:val="21"/>
              </w:rPr>
              <w:t>　　（二）按照规定处置生活垃圾处理过程中产生的污水、废气、废渣、粉尘等，保证生活垃圾集中转运、处理设施的排放达到国家和本市有关标准；</w:t>
            </w:r>
          </w:p>
          <w:p>
            <w:pPr>
              <w:pStyle w:val="47"/>
              <w:snapToGrid w:val="0"/>
              <w:spacing w:after="0" w:line="400" w:lineRule="exact"/>
              <w:ind w:left="0" w:leftChars="0" w:firstLine="480"/>
              <w:rPr>
                <w:rFonts w:ascii="仿宋_GB2312" w:hAnsi="仿宋" w:eastAsia="仿宋_GB2312" w:cs="仿宋"/>
                <w:color w:val="000000" w:themeColor="text1"/>
                <w:kern w:val="0"/>
                <w:sz w:val="24"/>
                <w:szCs w:val="21"/>
              </w:rPr>
            </w:pPr>
            <w:r>
              <w:rPr>
                <w:rFonts w:hint="eastAsia" w:ascii="仿宋_GB2312" w:hAnsi="仿宋" w:eastAsia="仿宋_GB2312" w:cs="仿宋"/>
                <w:color w:val="000000" w:themeColor="text1"/>
                <w:kern w:val="0"/>
                <w:sz w:val="24"/>
                <w:szCs w:val="21"/>
              </w:rPr>
              <w:t>第七十四条　违反本条例第五十一条第一款第（一）项、第（二）项规定的，由城市管理综合执法部门责令生活垃圾集中转运、处理设施的运行管理单位限期改正，处3万元以上10万元以下罚款；情节严重的，由城市管理综合执法部门吊销生活垃圾处理经营许可证；由于排放未达到标准，给单位和个人造成损失的，应当依法进行赔偿。</w:t>
            </w:r>
            <w:r>
              <w:rPr>
                <w:rFonts w:hint="eastAsia" w:ascii="仿宋_GB2312" w:hAnsi="仿宋" w:eastAsia="仿宋_GB2312" w:cs="仿宋"/>
                <w:color w:val="000000" w:themeColor="text1"/>
                <w:kern w:val="0"/>
                <w:sz w:val="24"/>
                <w:szCs w:val="21"/>
              </w:rPr>
              <w:br w:type="textWrapping"/>
            </w:r>
            <w:r>
              <w:rPr>
                <w:rFonts w:hint="eastAsia" w:ascii="仿宋_GB2312" w:hAnsi="仿宋" w:eastAsia="仿宋_GB2312" w:cs="仿宋"/>
                <w:color w:val="000000" w:themeColor="text1"/>
                <w:kern w:val="0"/>
                <w:sz w:val="24"/>
                <w:szCs w:val="21"/>
              </w:rPr>
              <w:t>　　违反本条例第五十一条第一款第（三）项、第（四）项规定，未按照要求进行检测的，由城市管理综合执法部门责令生活垃圾集中转运、处理设施的运行管理单位限期改正，处3万元以上10万元以下罚款；未将数据传送至城市管理部门的生活垃圾处理设施运行监督管理信息系统的，由城市管理综合执法部门责令限期改正，处2000元以上2万元以下罚款。</w:t>
            </w:r>
          </w:p>
          <w:p>
            <w:pPr>
              <w:pStyle w:val="47"/>
              <w:snapToGrid w:val="0"/>
              <w:spacing w:after="0" w:line="400" w:lineRule="exact"/>
              <w:ind w:left="0" w:leftChars="0" w:firstLine="480"/>
              <w:rPr>
                <w:rFonts w:ascii="仿宋_GB2312" w:hAnsi="仿宋" w:eastAsia="仿宋_GB2312" w:cs="仿宋"/>
                <w:color w:val="000000" w:themeColor="text1"/>
                <w:kern w:val="0"/>
                <w:sz w:val="24"/>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83" w:hRule="atLeast"/>
          <w:jc w:val="center"/>
        </w:trPr>
        <w:tc>
          <w:tcPr>
            <w:tcW w:w="2213" w:type="dxa"/>
            <w:vMerge w:val="continue"/>
            <w:tcBorders>
              <w:tl2br w:val="nil"/>
              <w:tr2bl w:val="nil"/>
            </w:tcBorders>
            <w:vAlign w:val="center"/>
          </w:tcPr>
          <w:p>
            <w:pPr>
              <w:snapToGrid w:val="0"/>
              <w:jc w:val="center"/>
              <w:rPr>
                <w:rFonts w:ascii="宋体" w:hAnsi="宋体" w:eastAsia="宋体" w:cs="宋体"/>
                <w:color w:val="000000" w:themeColor="text1"/>
                <w:szCs w:val="21"/>
              </w:rPr>
            </w:pPr>
          </w:p>
        </w:tc>
        <w:tc>
          <w:tcPr>
            <w:tcW w:w="1812" w:type="dxa"/>
            <w:tcBorders>
              <w:tl2br w:val="nil"/>
              <w:tr2bl w:val="nil"/>
            </w:tcBorders>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（三）未按要求接收生活垃圾或未进行分类处理</w:t>
            </w:r>
          </w:p>
        </w:tc>
        <w:tc>
          <w:tcPr>
            <w:tcW w:w="1800" w:type="dxa"/>
            <w:tcBorders>
              <w:tl2br w:val="nil"/>
              <w:tr2bl w:val="nil"/>
            </w:tcBorders>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《北京市生活垃圾管理条例》</w:t>
            </w:r>
          </w:p>
        </w:tc>
        <w:tc>
          <w:tcPr>
            <w:tcW w:w="8506" w:type="dxa"/>
            <w:tcBorders>
              <w:tl2br w:val="nil"/>
              <w:tr2bl w:val="nil"/>
            </w:tcBorders>
            <w:vAlign w:val="center"/>
          </w:tcPr>
          <w:p>
            <w:pPr>
              <w:pStyle w:val="23"/>
              <w:shd w:val="clear" w:color="auto" w:fill="FFFFFF"/>
              <w:spacing w:before="0" w:beforeAutospacing="0" w:after="0" w:afterAutospacing="0" w:line="400" w:lineRule="exact"/>
              <w:ind w:firstLine="481" w:firstLineChars="200"/>
              <w:rPr>
                <w:rFonts w:ascii="仿宋_GB2312" w:hAnsi="微软雅黑" w:eastAsia="仿宋_GB2312"/>
                <w:color w:val="000000" w:themeColor="text1"/>
              </w:rPr>
            </w:pPr>
            <w:r>
              <w:rPr>
                <w:rFonts w:hint="eastAsia" w:ascii="仿宋_GB2312" w:hAnsi="微软雅黑" w:eastAsia="仿宋_GB2312"/>
                <w:b/>
                <w:bCs/>
                <w:color w:val="000000" w:themeColor="text1"/>
              </w:rPr>
              <w:t>第四十六条第一款</w:t>
            </w:r>
            <w:r>
              <w:rPr>
                <w:rFonts w:hint="eastAsia" w:ascii="仿宋_GB2312" w:hAnsi="微软雅黑" w:eastAsia="仿宋_GB2312"/>
                <w:color w:val="000000" w:themeColor="text1"/>
              </w:rPr>
              <w:t>　生活垃圾集中转运、处理设施的运行管理单位应当按照要求接收生活垃圾，并进行分类处理。</w:t>
            </w:r>
          </w:p>
          <w:p>
            <w:pPr>
              <w:widowControl/>
              <w:shd w:val="clear" w:color="auto" w:fill="FFFFFF"/>
              <w:spacing w:line="400" w:lineRule="exact"/>
              <w:ind w:firstLine="481" w:firstLineChars="200"/>
              <w:jc w:val="left"/>
              <w:rPr>
                <w:rFonts w:ascii="仿宋_GB2312" w:hAnsi="微软雅黑" w:eastAsia="仿宋_GB2312"/>
                <w:color w:val="000000" w:themeColor="text1"/>
                <w:sz w:val="24"/>
                <w:shd w:val="clear" w:color="auto" w:fill="FFFFFF"/>
              </w:rPr>
            </w:pPr>
            <w:r>
              <w:rPr>
                <w:rFonts w:hint="eastAsia" w:ascii="仿宋_GB2312" w:hAnsi="仿宋" w:eastAsia="仿宋_GB2312" w:cs="仿宋"/>
                <w:b/>
                <w:color w:val="000000" w:themeColor="text1"/>
                <w:kern w:val="0"/>
                <w:sz w:val="24"/>
              </w:rPr>
              <w:t>第五十二条第二款</w:t>
            </w:r>
            <w:r>
              <w:rPr>
                <w:rFonts w:hint="eastAsia" w:ascii="仿宋_GB2312" w:hAnsi="微软雅黑" w:eastAsia="仿宋_GB2312"/>
                <w:color w:val="000000" w:themeColor="text1"/>
                <w:sz w:val="24"/>
              </w:rPr>
              <w:t>　</w:t>
            </w:r>
            <w:r>
              <w:rPr>
                <w:rFonts w:hint="eastAsia" w:ascii="仿宋_GB2312" w:hAnsi="微软雅黑" w:eastAsia="仿宋_GB2312"/>
                <w:color w:val="000000" w:themeColor="text1"/>
                <w:sz w:val="24"/>
                <w:shd w:val="clear" w:color="auto" w:fill="FFFFFF"/>
              </w:rPr>
              <w:t>生活垃圾集中转运、处理设施的运行管理单位接收生活垃圾时发现不符合分类标准的，有权要求生活垃圾收集、运输单位改正；拒不改正的，应当向城市管理综合执法部门报告。</w:t>
            </w:r>
          </w:p>
          <w:p>
            <w:pPr>
              <w:pStyle w:val="47"/>
              <w:snapToGrid w:val="0"/>
              <w:spacing w:after="0" w:line="400" w:lineRule="exact"/>
              <w:ind w:left="0" w:leftChars="0" w:firstLine="482"/>
              <w:rPr>
                <w:rFonts w:ascii="仿宋_GB2312" w:hAnsi="仿宋" w:eastAsia="仿宋_GB2312" w:cs="仿宋"/>
                <w:color w:val="000000" w:themeColor="text1"/>
                <w:kern w:val="0"/>
                <w:sz w:val="24"/>
                <w:szCs w:val="21"/>
              </w:rPr>
            </w:pPr>
            <w:r>
              <w:rPr>
                <w:rStyle w:val="29"/>
                <w:rFonts w:hint="eastAsia" w:ascii="仿宋_GB2312" w:hAnsi="微软雅黑" w:eastAsia="仿宋_GB2312"/>
                <w:color w:val="000000" w:themeColor="text1"/>
                <w:sz w:val="24"/>
                <w:shd w:val="clear" w:color="auto" w:fill="FFFFFF"/>
              </w:rPr>
              <w:t>第七十二条</w:t>
            </w:r>
            <w:r>
              <w:rPr>
                <w:rFonts w:hint="eastAsia" w:ascii="仿宋_GB2312" w:hAnsi="微软雅黑" w:eastAsia="仿宋_GB2312"/>
                <w:color w:val="000000" w:themeColor="text1"/>
                <w:sz w:val="24"/>
              </w:rPr>
              <w:t>　</w:t>
            </w:r>
            <w:r>
              <w:rPr>
                <w:rFonts w:hint="eastAsia" w:ascii="仿宋_GB2312" w:hAnsi="微软雅黑" w:eastAsia="仿宋_GB2312"/>
                <w:color w:val="000000" w:themeColor="text1"/>
                <w:sz w:val="24"/>
                <w:shd w:val="clear" w:color="auto" w:fill="FFFFFF"/>
              </w:rPr>
              <w:t>违反本条例第四十六条第一款规定，生活垃圾集中转运、处理设施未按照要求接收生活垃圾，或者未进行分类处理的，由城市管理综合执法部门责令限期改正，处五万元以上十万元以下罚款；情节严重的，由城市管理综合执法部门吊销生活垃圾处理经营许可证或者渣土消纳场所许可证。</w:t>
            </w:r>
          </w:p>
        </w:tc>
      </w:tr>
    </w:tbl>
    <w:p>
      <w:pPr>
        <w:snapToGrid w:val="0"/>
        <w:rPr>
          <w:color w:val="000000" w:themeColor="text1"/>
        </w:rPr>
      </w:pPr>
    </w:p>
    <w:p>
      <w:pPr>
        <w:pStyle w:val="47"/>
        <w:rPr>
          <w:color w:val="000000" w:themeColor="text1"/>
        </w:rPr>
      </w:pPr>
      <w:r>
        <w:rPr>
          <w:color w:val="000000" w:themeColor="text1"/>
        </w:rPr>
        <w:br w:type="page"/>
      </w:r>
    </w:p>
    <w:p>
      <w:pPr>
        <w:snapToGrid w:val="0"/>
        <w:rPr>
          <w:color w:val="000000" w:themeColor="text1"/>
        </w:rPr>
      </w:pPr>
    </w:p>
    <w:tbl>
      <w:tblPr>
        <w:tblStyle w:val="26"/>
        <w:tblW w:w="1421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022"/>
        <w:gridCol w:w="1843"/>
        <w:gridCol w:w="1842"/>
        <w:gridCol w:w="85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3" w:hRule="atLeast"/>
          <w:tblHeader/>
          <w:jc w:val="center"/>
        </w:trPr>
        <w:tc>
          <w:tcPr>
            <w:tcW w:w="14212" w:type="dxa"/>
            <w:gridSpan w:val="4"/>
            <w:tcBorders>
              <w:tl2br w:val="nil"/>
              <w:tr2bl w:val="nil"/>
            </w:tcBorders>
            <w:vAlign w:val="center"/>
          </w:tcPr>
          <w:p>
            <w:pPr>
              <w:pStyle w:val="5"/>
              <w:jc w:val="center"/>
              <w:rPr>
                <w:color w:val="000000" w:themeColor="text1"/>
              </w:rPr>
            </w:pPr>
            <w:r>
              <w:rPr>
                <w:color w:val="000000" w:themeColor="text1"/>
              </w:rPr>
              <w:br w:type="page"/>
            </w:r>
            <w:r>
              <w:rPr>
                <w:color w:val="000000" w:themeColor="text1"/>
              </w:rPr>
              <w:br w:type="page"/>
            </w:r>
            <w:bookmarkStart w:id="175" w:name="_Toc150435297"/>
            <w:r>
              <w:rPr>
                <w:rFonts w:hint="eastAsia"/>
                <w:color w:val="000000" w:themeColor="text1"/>
              </w:rPr>
              <w:t>设备设施监管方面</w:t>
            </w:r>
            <w:bookmarkEnd w:id="175"/>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5" w:hRule="atLeast"/>
          <w:tblHeader/>
          <w:jc w:val="center"/>
        </w:trPr>
        <w:tc>
          <w:tcPr>
            <w:tcW w:w="2022" w:type="dxa"/>
            <w:tcBorders>
              <w:tl2br w:val="nil"/>
              <w:tr2bl w:val="nil"/>
            </w:tcBorders>
            <w:vAlign w:val="center"/>
          </w:tcPr>
          <w:p>
            <w:pPr>
              <w:pStyle w:val="47"/>
              <w:snapToGrid w:val="0"/>
              <w:spacing w:after="0" w:line="400" w:lineRule="exact"/>
              <w:ind w:left="0" w:leftChars="0" w:firstLine="0" w:firstLineChars="0"/>
              <w:jc w:val="center"/>
              <w:rPr>
                <w:rFonts w:ascii="黑体" w:hAnsi="黑体" w:eastAsia="黑体" w:cs="黑体"/>
                <w:color w:val="000000" w:themeColor="text1"/>
                <w:szCs w:val="21"/>
              </w:rPr>
            </w:pPr>
            <w:r>
              <w:rPr>
                <w:rFonts w:hint="eastAsia" w:ascii="黑体" w:hAnsi="黑体" w:eastAsia="黑体" w:cs="黑体"/>
                <w:color w:val="000000" w:themeColor="text1"/>
                <w:szCs w:val="21"/>
              </w:rPr>
              <w:t>监管内容</w:t>
            </w:r>
          </w:p>
        </w:tc>
        <w:tc>
          <w:tcPr>
            <w:tcW w:w="1843" w:type="dxa"/>
            <w:tcBorders>
              <w:tl2br w:val="nil"/>
              <w:tr2bl w:val="nil"/>
            </w:tcBorders>
            <w:vAlign w:val="center"/>
          </w:tcPr>
          <w:p>
            <w:pPr>
              <w:pStyle w:val="47"/>
              <w:snapToGrid w:val="0"/>
              <w:spacing w:after="0" w:line="400" w:lineRule="exact"/>
              <w:ind w:left="0" w:leftChars="0" w:firstLine="0" w:firstLineChars="0"/>
              <w:jc w:val="center"/>
              <w:rPr>
                <w:rFonts w:ascii="黑体" w:hAnsi="黑体" w:eastAsia="黑体" w:cs="黑体"/>
                <w:color w:val="000000" w:themeColor="text1"/>
                <w:szCs w:val="21"/>
              </w:rPr>
            </w:pPr>
            <w:r>
              <w:rPr>
                <w:rFonts w:hint="eastAsia" w:ascii="黑体" w:hAnsi="黑体" w:eastAsia="黑体" w:cs="黑体"/>
                <w:color w:val="000000" w:themeColor="text1"/>
                <w:szCs w:val="21"/>
              </w:rPr>
              <w:t>监管事项</w:t>
            </w:r>
          </w:p>
        </w:tc>
        <w:tc>
          <w:tcPr>
            <w:tcW w:w="1842" w:type="dxa"/>
            <w:tcBorders>
              <w:tl2br w:val="nil"/>
              <w:tr2bl w:val="nil"/>
            </w:tcBorders>
            <w:vAlign w:val="center"/>
          </w:tcPr>
          <w:p>
            <w:pPr>
              <w:pStyle w:val="47"/>
              <w:snapToGrid w:val="0"/>
              <w:spacing w:after="0" w:line="400" w:lineRule="exact"/>
              <w:ind w:left="0" w:leftChars="0" w:firstLine="0" w:firstLineChars="0"/>
              <w:jc w:val="center"/>
              <w:rPr>
                <w:rFonts w:ascii="黑体" w:hAnsi="黑体" w:eastAsia="黑体" w:cs="黑体"/>
                <w:color w:val="000000" w:themeColor="text1"/>
                <w:szCs w:val="21"/>
              </w:rPr>
            </w:pPr>
            <w:r>
              <w:rPr>
                <w:rFonts w:hint="eastAsia" w:ascii="黑体" w:hAnsi="黑体" w:eastAsia="黑体" w:cs="黑体"/>
                <w:color w:val="000000" w:themeColor="text1"/>
                <w:szCs w:val="21"/>
              </w:rPr>
              <w:t>监管依据</w:t>
            </w:r>
          </w:p>
        </w:tc>
        <w:tc>
          <w:tcPr>
            <w:tcW w:w="8505" w:type="dxa"/>
            <w:tcBorders>
              <w:tl2br w:val="nil"/>
              <w:tr2bl w:val="nil"/>
            </w:tcBorders>
            <w:vAlign w:val="center"/>
          </w:tcPr>
          <w:p>
            <w:pPr>
              <w:pStyle w:val="47"/>
              <w:snapToGrid w:val="0"/>
              <w:spacing w:after="0" w:line="400" w:lineRule="exact"/>
              <w:ind w:left="0" w:leftChars="0" w:firstLine="0" w:firstLineChars="0"/>
              <w:jc w:val="center"/>
              <w:rPr>
                <w:rFonts w:ascii="黑体" w:hAnsi="黑体" w:eastAsia="黑体" w:cs="黑体"/>
                <w:color w:val="000000" w:themeColor="text1"/>
                <w:kern w:val="0"/>
                <w:szCs w:val="21"/>
              </w:rPr>
            </w:pPr>
            <w:r>
              <w:rPr>
                <w:rFonts w:hint="eastAsia" w:ascii="黑体" w:hAnsi="黑体" w:eastAsia="黑体" w:cs="黑体"/>
                <w:color w:val="000000" w:themeColor="text1"/>
                <w:szCs w:val="21"/>
              </w:rPr>
              <w:t>监管规则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6" w:hRule="atLeast"/>
          <w:jc w:val="center"/>
        </w:trPr>
        <w:tc>
          <w:tcPr>
            <w:tcW w:w="2022" w:type="dxa"/>
            <w:vMerge w:val="restart"/>
            <w:tcBorders>
              <w:tl2br w:val="nil"/>
              <w:tr2bl w:val="nil"/>
            </w:tcBorders>
            <w:shd w:val="clear" w:color="auto" w:fill="auto"/>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一、水务管理</w:t>
            </w:r>
          </w:p>
        </w:tc>
        <w:tc>
          <w:tcPr>
            <w:tcW w:w="1843" w:type="dxa"/>
            <w:tcBorders>
              <w:tl2br w:val="nil"/>
              <w:tr2bl w:val="nil"/>
            </w:tcBorders>
            <w:shd w:val="clear" w:color="auto" w:fill="auto"/>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（一）污水处理</w:t>
            </w:r>
          </w:p>
        </w:tc>
        <w:tc>
          <w:tcPr>
            <w:tcW w:w="1842" w:type="dxa"/>
            <w:tcBorders>
              <w:tl2br w:val="nil"/>
              <w:tr2bl w:val="nil"/>
            </w:tcBorders>
            <w:shd w:val="clear" w:color="auto" w:fill="auto"/>
            <w:vAlign w:val="center"/>
          </w:tcPr>
          <w:p>
            <w:pPr>
              <w:widowControl/>
              <w:snapToGrid w:val="0"/>
              <w:spacing w:line="40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《城镇排水与污水处理条例》</w:t>
            </w:r>
          </w:p>
        </w:tc>
        <w:tc>
          <w:tcPr>
            <w:tcW w:w="8505" w:type="dxa"/>
            <w:tcBorders>
              <w:tl2br w:val="nil"/>
              <w:tr2bl w:val="nil"/>
            </w:tcBorders>
            <w:shd w:val="clear" w:color="auto" w:fill="auto"/>
            <w:vAlign w:val="center"/>
          </w:tcPr>
          <w:p>
            <w:pPr>
              <w:widowControl/>
              <w:snapToGrid w:val="0"/>
              <w:spacing w:line="400" w:lineRule="exact"/>
              <w:ind w:firstLine="481" w:firstLineChars="200"/>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b/>
                <w:bCs/>
                <w:color w:val="000000" w:themeColor="text1"/>
                <w:sz w:val="24"/>
                <w:szCs w:val="21"/>
              </w:rPr>
              <w:t>第三十条</w:t>
            </w:r>
            <w:r>
              <w:rPr>
                <w:rFonts w:hint="eastAsia" w:ascii="仿宋_GB2312" w:hAnsi="仿宋" w:eastAsia="仿宋_GB2312" w:cs="仿宋"/>
                <w:color w:val="000000" w:themeColor="text1"/>
                <w:sz w:val="24"/>
                <w:szCs w:val="21"/>
              </w:rPr>
              <w:t>　城镇污水处理设施维护运营单位或者污泥处理处置单位应当安全处理处置污泥，保证处理处置后的污泥符合国家有关标准，对产生的污泥以及处理处置后的污泥去向、用途、用量等进行跟踪、记录，并向城镇排水主管部门、环境保护主管部门报告。任何单位和个人不得擅自倾倒、堆放、丢弃、遗撒污泥。</w:t>
            </w:r>
          </w:p>
          <w:p>
            <w:pPr>
              <w:widowControl/>
              <w:snapToGrid w:val="0"/>
              <w:spacing w:line="400" w:lineRule="exact"/>
              <w:ind w:firstLine="481" w:firstLineChars="200"/>
              <w:jc w:val="left"/>
              <w:textAlignment w:val="center"/>
              <w:rPr>
                <w:rFonts w:ascii="仿宋" w:hAnsi="仿宋" w:cs="仿宋"/>
                <w:color w:val="000000" w:themeColor="text1"/>
                <w:szCs w:val="21"/>
              </w:rPr>
            </w:pPr>
            <w:r>
              <w:rPr>
                <w:rFonts w:hint="eastAsia" w:ascii="仿宋_GB2312" w:hAnsi="仿宋" w:eastAsia="仿宋_GB2312" w:cs="仿宋"/>
                <w:b/>
                <w:bCs/>
                <w:color w:val="000000" w:themeColor="text1"/>
                <w:sz w:val="24"/>
                <w:szCs w:val="21"/>
              </w:rPr>
              <w:t>第五十三条</w:t>
            </w:r>
            <w:r>
              <w:rPr>
                <w:rFonts w:hint="eastAsia" w:ascii="仿宋_GB2312" w:hAnsi="仿宋" w:eastAsia="仿宋_GB2312" w:cs="仿宋"/>
                <w:color w:val="000000" w:themeColor="text1"/>
                <w:sz w:val="24"/>
                <w:szCs w:val="21"/>
              </w:rPr>
              <w:t>　违反本条例规定，城镇污水处理设施维护运营单位或者污泥处理处置单位对产生的污泥以及处理处置后的污泥的去向、用途、用量等未进行跟踪、记录的，或者处理处置后的污泥不符合国家有关标准的，由城镇排水主管部门责令限期采取治理措施，给予警告；造成严重后果的，处10万元以上20万元以下罚款；逾期不采取治理措施的，城镇排水主管部门可以指定有治理能力的单位代为治理，所需费用由当事人承担；造成损失的，依法承担赔偿责任。</w:t>
            </w:r>
            <w:r>
              <w:rPr>
                <w:rFonts w:hint="eastAsia" w:ascii="仿宋_GB2312" w:hAnsi="仿宋" w:eastAsia="仿宋_GB2312" w:cs="仿宋"/>
                <w:color w:val="000000" w:themeColor="text1"/>
                <w:sz w:val="24"/>
                <w:szCs w:val="21"/>
              </w:rPr>
              <w:br w:type="textWrapping"/>
            </w:r>
            <w:r>
              <w:rPr>
                <w:rFonts w:hint="eastAsia" w:ascii="仿宋_GB2312" w:hAnsi="仿宋" w:eastAsia="仿宋_GB2312" w:cs="仿宋"/>
                <w:color w:val="000000" w:themeColor="text1"/>
                <w:sz w:val="24"/>
                <w:szCs w:val="21"/>
              </w:rPr>
              <w:t>　　违反本条例规定，擅自倾倒、堆放、丢弃、遗撒污泥的，由城镇排水主管部门责令停止违法行为，限期采取治理措施，给予警告；造成严重后果的，对单位处10万元以上50万元以下罚款，对个人处2万元以上10万元以下罚款；逾期不采取治理措施的，城镇排水主管部门可以指定有治理能力的单位代为治理，所需费用由当事人承担；造成损失的，依法承担赔偿责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6" w:hRule="atLeast"/>
          <w:jc w:val="center"/>
        </w:trPr>
        <w:tc>
          <w:tcPr>
            <w:tcW w:w="2022" w:type="dxa"/>
            <w:vMerge w:val="continue"/>
            <w:tcBorders>
              <w:tl2br w:val="nil"/>
              <w:tr2bl w:val="nil"/>
            </w:tcBorders>
            <w:shd w:val="clear" w:color="auto" w:fill="auto"/>
            <w:vAlign w:val="center"/>
          </w:tcPr>
          <w:p>
            <w:pPr>
              <w:widowControl/>
              <w:snapToGrid w:val="0"/>
              <w:spacing w:line="360" w:lineRule="exact"/>
              <w:jc w:val="center"/>
              <w:textAlignment w:val="bottom"/>
              <w:rPr>
                <w:rFonts w:ascii="宋体" w:hAnsi="宋体" w:eastAsia="宋体" w:cs="宋体"/>
                <w:color w:val="000000" w:themeColor="text1"/>
                <w:szCs w:val="21"/>
              </w:rPr>
            </w:pPr>
          </w:p>
        </w:tc>
        <w:tc>
          <w:tcPr>
            <w:tcW w:w="1843" w:type="dxa"/>
            <w:tcBorders>
              <w:tl2br w:val="nil"/>
              <w:tr2bl w:val="nil"/>
            </w:tcBorders>
            <w:shd w:val="clear" w:color="auto" w:fill="auto"/>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（二）井盖丢失</w:t>
            </w:r>
          </w:p>
        </w:tc>
        <w:tc>
          <w:tcPr>
            <w:tcW w:w="1842" w:type="dxa"/>
            <w:tcBorders>
              <w:tl2br w:val="nil"/>
              <w:tr2bl w:val="nil"/>
            </w:tcBorders>
            <w:shd w:val="clear" w:color="auto" w:fill="auto"/>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《城镇排水与污水处理条例》</w:t>
            </w:r>
          </w:p>
        </w:tc>
        <w:tc>
          <w:tcPr>
            <w:tcW w:w="8505" w:type="dxa"/>
            <w:tcBorders>
              <w:tl2br w:val="nil"/>
              <w:tr2bl w:val="nil"/>
            </w:tcBorders>
            <w:shd w:val="clear" w:color="auto" w:fill="auto"/>
            <w:vAlign w:val="center"/>
          </w:tcPr>
          <w:p>
            <w:pPr>
              <w:widowControl/>
              <w:snapToGrid w:val="0"/>
              <w:spacing w:line="400" w:lineRule="exact"/>
              <w:ind w:firstLine="481" w:firstLineChars="200"/>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b/>
                <w:bCs/>
                <w:color w:val="000000" w:themeColor="text1"/>
                <w:sz w:val="24"/>
                <w:szCs w:val="21"/>
              </w:rPr>
              <w:t>第三十八条</w:t>
            </w:r>
            <w:r>
              <w:rPr>
                <w:rFonts w:hint="eastAsia" w:ascii="仿宋_GB2312" w:hAnsi="仿宋" w:eastAsia="仿宋_GB2312" w:cs="仿宋"/>
                <w:color w:val="000000" w:themeColor="text1"/>
                <w:sz w:val="24"/>
                <w:szCs w:val="21"/>
              </w:rPr>
              <w:t>　城镇排水与污水处理设施维护运营单位应当建立健全安全生产管理制度，加强对窨井盖等城镇排水与污水处理设施的日常巡查、维修和养护，保障设施安全运行。</w:t>
            </w:r>
          </w:p>
          <w:p>
            <w:pPr>
              <w:widowControl/>
              <w:snapToGrid w:val="0"/>
              <w:spacing w:line="400" w:lineRule="exact"/>
              <w:ind w:firstLine="481" w:firstLineChars="200"/>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b/>
                <w:bCs/>
                <w:color w:val="000000" w:themeColor="text1"/>
                <w:sz w:val="24"/>
                <w:szCs w:val="21"/>
              </w:rPr>
              <w:t>第五十五条</w:t>
            </w:r>
            <w:r>
              <w:rPr>
                <w:rFonts w:hint="eastAsia" w:ascii="仿宋_GB2312" w:hAnsi="仿宋" w:eastAsia="仿宋_GB2312" w:cs="仿宋"/>
                <w:color w:val="000000" w:themeColor="text1"/>
                <w:sz w:val="24"/>
                <w:szCs w:val="21"/>
              </w:rPr>
              <w:t>　违反本条例规定，城镇排水与污水处理设施维护运营单位有下列情形之一的，由城镇排水主管部门责令改正，给予警告；逾期不改正或者造成严重后果的，处10万元以上50万元以下罚款；造成损失的，依法承担赔偿责任；构成犯罪的，依法追究刑事责任：</w:t>
            </w:r>
            <w:r>
              <w:rPr>
                <w:rFonts w:hint="eastAsia" w:ascii="仿宋_GB2312" w:hAnsi="仿宋" w:eastAsia="仿宋_GB2312" w:cs="仿宋"/>
                <w:color w:val="000000" w:themeColor="text1"/>
                <w:sz w:val="24"/>
                <w:szCs w:val="21"/>
              </w:rPr>
              <w:br w:type="textWrapping"/>
            </w:r>
            <w:r>
              <w:rPr>
                <w:rFonts w:hint="eastAsia" w:ascii="仿宋_GB2312" w:hAnsi="仿宋" w:eastAsia="仿宋_GB2312" w:cs="仿宋"/>
                <w:color w:val="000000" w:themeColor="text1"/>
                <w:sz w:val="24"/>
                <w:szCs w:val="21"/>
              </w:rPr>
              <w:t>　　（一）未按照国家有关规定履行日常巡查、维修和养护责任，保障设施安全运行的；</w:t>
            </w:r>
            <w:r>
              <w:rPr>
                <w:rFonts w:hint="eastAsia" w:ascii="仿宋_GB2312" w:hAnsi="仿宋" w:eastAsia="仿宋_GB2312" w:cs="仿宋"/>
                <w:color w:val="000000" w:themeColor="text1"/>
                <w:sz w:val="24"/>
                <w:szCs w:val="21"/>
              </w:rPr>
              <w:br w:type="textWrapping"/>
            </w:r>
            <w:r>
              <w:rPr>
                <w:rFonts w:hint="eastAsia" w:ascii="仿宋_GB2312" w:hAnsi="仿宋" w:eastAsia="仿宋_GB2312" w:cs="仿宋"/>
                <w:color w:val="000000" w:themeColor="text1"/>
                <w:sz w:val="24"/>
                <w:szCs w:val="21"/>
              </w:rPr>
              <w:t>　　（二）未及时采取防护措施、组织事故抢修的；</w:t>
            </w:r>
            <w:r>
              <w:rPr>
                <w:rFonts w:hint="eastAsia" w:ascii="仿宋_GB2312" w:hAnsi="仿宋" w:eastAsia="仿宋_GB2312" w:cs="仿宋"/>
                <w:color w:val="000000" w:themeColor="text1"/>
                <w:sz w:val="24"/>
                <w:szCs w:val="21"/>
              </w:rPr>
              <w:br w:type="textWrapping"/>
            </w:r>
            <w:r>
              <w:rPr>
                <w:rFonts w:hint="eastAsia" w:ascii="仿宋_GB2312" w:hAnsi="仿宋" w:eastAsia="仿宋_GB2312" w:cs="仿宋"/>
                <w:color w:val="000000" w:themeColor="text1"/>
                <w:sz w:val="24"/>
                <w:szCs w:val="21"/>
              </w:rPr>
              <w:t>　　（三）因巡查、维护不到位，导致窨井盖丢失、损毁，造成人员伤亡和财产损失的。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6" w:hRule="atLeast"/>
          <w:jc w:val="center"/>
        </w:trPr>
        <w:tc>
          <w:tcPr>
            <w:tcW w:w="2022" w:type="dxa"/>
            <w:vMerge w:val="continue"/>
            <w:tcBorders>
              <w:tl2br w:val="nil"/>
              <w:tr2bl w:val="nil"/>
            </w:tcBorders>
            <w:shd w:val="clear" w:color="auto" w:fill="auto"/>
            <w:vAlign w:val="center"/>
          </w:tcPr>
          <w:p>
            <w:pPr>
              <w:widowControl/>
              <w:snapToGrid w:val="0"/>
              <w:spacing w:line="360" w:lineRule="exact"/>
              <w:jc w:val="center"/>
              <w:textAlignment w:val="bottom"/>
              <w:rPr>
                <w:rFonts w:ascii="宋体" w:hAnsi="宋体" w:eastAsia="宋体" w:cs="宋体"/>
                <w:color w:val="000000" w:themeColor="text1"/>
                <w:szCs w:val="21"/>
              </w:rPr>
            </w:pPr>
          </w:p>
        </w:tc>
        <w:tc>
          <w:tcPr>
            <w:tcW w:w="1843" w:type="dxa"/>
            <w:vMerge w:val="restart"/>
            <w:tcBorders>
              <w:tl2br w:val="nil"/>
              <w:tr2bl w:val="nil"/>
            </w:tcBorders>
            <w:shd w:val="clear" w:color="auto" w:fill="auto"/>
            <w:vAlign w:val="center"/>
          </w:tcPr>
          <w:p>
            <w:pPr>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（三）取水用水</w:t>
            </w:r>
          </w:p>
        </w:tc>
        <w:tc>
          <w:tcPr>
            <w:tcW w:w="1842" w:type="dxa"/>
            <w:vMerge w:val="restart"/>
            <w:tcBorders>
              <w:tl2br w:val="nil"/>
              <w:tr2bl w:val="nil"/>
            </w:tcBorders>
            <w:shd w:val="clear" w:color="auto" w:fill="auto"/>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《中华人民共和国水法》</w:t>
            </w:r>
          </w:p>
        </w:tc>
        <w:tc>
          <w:tcPr>
            <w:tcW w:w="8505" w:type="dxa"/>
            <w:tcBorders>
              <w:tl2br w:val="nil"/>
              <w:tr2bl w:val="nil"/>
            </w:tcBorders>
            <w:shd w:val="clear" w:color="auto" w:fill="auto"/>
            <w:vAlign w:val="center"/>
          </w:tcPr>
          <w:p>
            <w:pPr>
              <w:widowControl/>
              <w:snapToGrid w:val="0"/>
              <w:spacing w:line="400" w:lineRule="exact"/>
              <w:ind w:firstLine="481" w:firstLineChars="200"/>
              <w:textAlignment w:val="center"/>
              <w:rPr>
                <w:rFonts w:ascii="仿宋_GB2312" w:hAnsi="仿宋" w:eastAsia="仿宋_GB2312" w:cs="仿宋"/>
                <w:color w:val="000000" w:themeColor="text1"/>
                <w:sz w:val="24"/>
                <w:szCs w:val="21"/>
              </w:rPr>
            </w:pPr>
            <w:r>
              <w:rPr>
                <w:rFonts w:hint="eastAsia" w:ascii="仿宋_GB2312" w:hAnsi="仿宋" w:eastAsia="仿宋_GB2312" w:cs="仿宋"/>
                <w:b/>
                <w:bCs/>
                <w:color w:val="000000" w:themeColor="text1"/>
                <w:sz w:val="24"/>
                <w:szCs w:val="21"/>
              </w:rPr>
              <w:t>第四十八条第一款</w:t>
            </w:r>
            <w:r>
              <w:rPr>
                <w:rFonts w:hint="eastAsia" w:ascii="仿宋_GB2312" w:hAnsi="仿宋" w:eastAsia="仿宋_GB2312" w:cs="仿宋"/>
                <w:color w:val="000000" w:themeColor="text1"/>
                <w:sz w:val="24"/>
                <w:szCs w:val="21"/>
              </w:rPr>
              <w:t>　直接从江河、湖泊或者地下取用水资源的单位和个人，应当按照国家取水许可制度和水资源有偿使用制度的规定，向水行政主管部门或者流域管理机构申请领取取水许可证，并缴纳水资源费，取得取水权。但是，家庭生活和零星散养、圈养畜禽饮用等少量取水的除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26" w:hRule="atLeast"/>
          <w:jc w:val="center"/>
        </w:trPr>
        <w:tc>
          <w:tcPr>
            <w:tcW w:w="2022" w:type="dxa"/>
            <w:vMerge w:val="continue"/>
            <w:tcBorders>
              <w:tl2br w:val="nil"/>
              <w:tr2bl w:val="nil"/>
            </w:tcBorders>
            <w:shd w:val="clear" w:color="auto" w:fill="auto"/>
            <w:vAlign w:val="center"/>
          </w:tcPr>
          <w:p>
            <w:pPr>
              <w:widowControl/>
              <w:snapToGrid w:val="0"/>
              <w:spacing w:line="360" w:lineRule="exact"/>
              <w:jc w:val="center"/>
              <w:textAlignment w:val="bottom"/>
              <w:rPr>
                <w:rFonts w:ascii="宋体" w:hAnsi="宋体" w:eastAsia="宋体" w:cs="宋体"/>
                <w:color w:val="000000" w:themeColor="text1"/>
                <w:szCs w:val="21"/>
              </w:rPr>
            </w:pPr>
          </w:p>
        </w:tc>
        <w:tc>
          <w:tcPr>
            <w:tcW w:w="1843" w:type="dxa"/>
            <w:vMerge w:val="continue"/>
            <w:tcBorders>
              <w:tl2br w:val="nil"/>
              <w:tr2bl w:val="nil"/>
            </w:tcBorders>
            <w:shd w:val="clear" w:color="auto" w:fill="auto"/>
            <w:vAlign w:val="center"/>
          </w:tcPr>
          <w:p>
            <w:pPr>
              <w:widowControl/>
              <w:snapToGrid w:val="0"/>
              <w:spacing w:line="360" w:lineRule="exact"/>
              <w:textAlignment w:val="center"/>
              <w:rPr>
                <w:rFonts w:ascii="仿宋_GB2312" w:hAnsi="仿宋" w:eastAsia="仿宋_GB2312" w:cs="仿宋"/>
                <w:color w:val="000000" w:themeColor="text1"/>
                <w:sz w:val="24"/>
                <w:szCs w:val="21"/>
              </w:rPr>
            </w:pPr>
          </w:p>
        </w:tc>
        <w:tc>
          <w:tcPr>
            <w:tcW w:w="1842" w:type="dxa"/>
            <w:vMerge w:val="continue"/>
            <w:tcBorders>
              <w:tl2br w:val="nil"/>
              <w:tr2bl w:val="nil"/>
            </w:tcBorders>
            <w:shd w:val="clear" w:color="auto" w:fill="auto"/>
            <w:vAlign w:val="center"/>
          </w:tcPr>
          <w:p>
            <w:pPr>
              <w:widowControl/>
              <w:snapToGrid w:val="0"/>
              <w:spacing w:line="360" w:lineRule="exact"/>
              <w:textAlignment w:val="center"/>
              <w:rPr>
                <w:rFonts w:ascii="仿宋_GB2312" w:hAnsi="仿宋" w:eastAsia="仿宋_GB2312" w:cs="仿宋"/>
                <w:color w:val="000000" w:themeColor="text1"/>
                <w:sz w:val="24"/>
                <w:szCs w:val="21"/>
              </w:rPr>
            </w:pPr>
          </w:p>
        </w:tc>
        <w:tc>
          <w:tcPr>
            <w:tcW w:w="8505" w:type="dxa"/>
            <w:tcBorders>
              <w:tl2br w:val="nil"/>
              <w:tr2bl w:val="nil"/>
            </w:tcBorders>
            <w:shd w:val="clear" w:color="auto" w:fill="auto"/>
            <w:vAlign w:val="center"/>
          </w:tcPr>
          <w:p>
            <w:pPr>
              <w:widowControl/>
              <w:snapToGrid w:val="0"/>
              <w:spacing w:line="400" w:lineRule="exact"/>
              <w:ind w:firstLine="481" w:firstLineChars="200"/>
              <w:textAlignment w:val="center"/>
              <w:rPr>
                <w:rFonts w:ascii="仿宋_GB2312" w:hAnsi="仿宋" w:eastAsia="仿宋_GB2312" w:cs="仿宋"/>
                <w:color w:val="000000" w:themeColor="text1"/>
                <w:sz w:val="24"/>
                <w:szCs w:val="21"/>
              </w:rPr>
            </w:pPr>
            <w:r>
              <w:rPr>
                <w:rFonts w:hint="eastAsia" w:ascii="仿宋_GB2312" w:hAnsi="仿宋" w:eastAsia="仿宋_GB2312" w:cs="仿宋"/>
                <w:b/>
                <w:bCs/>
                <w:color w:val="000000" w:themeColor="text1"/>
                <w:sz w:val="24"/>
                <w:szCs w:val="21"/>
              </w:rPr>
              <w:t>第六十九条第一款</w:t>
            </w:r>
            <w:r>
              <w:rPr>
                <w:rFonts w:hint="eastAsia" w:ascii="仿宋_GB2312" w:hAnsi="仿宋" w:eastAsia="仿宋_GB2312" w:cs="仿宋"/>
                <w:color w:val="000000" w:themeColor="text1"/>
                <w:sz w:val="24"/>
                <w:szCs w:val="21"/>
              </w:rPr>
              <w:t>　有下列行为之一的，由县级以上人民政府水行政主管部门或者流域管理机构依据职权，责令停止违法行为，限期采取补救措施，处二万元以上十万元以下的罚款；情节严重的，吊销其取水许可证：</w:t>
            </w:r>
          </w:p>
          <w:p>
            <w:pPr>
              <w:widowControl/>
              <w:snapToGrid w:val="0"/>
              <w:spacing w:line="400" w:lineRule="exact"/>
              <w:ind w:firstLine="480" w:firstLineChars="200"/>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（一）未经批准擅自取水的；</w:t>
            </w:r>
          </w:p>
          <w:p>
            <w:pPr>
              <w:widowControl/>
              <w:snapToGrid w:val="0"/>
              <w:spacing w:line="400" w:lineRule="exact"/>
              <w:ind w:firstLine="480" w:firstLineChars="200"/>
              <w:textAlignment w:val="center"/>
              <w:rPr>
                <w:color w:val="000000" w:themeColor="text1"/>
              </w:rPr>
            </w:pPr>
            <w:r>
              <w:rPr>
                <w:rFonts w:hint="eastAsia" w:ascii="仿宋_GB2312" w:hAnsi="仿宋" w:eastAsia="仿宋_GB2312" w:cs="仿宋"/>
                <w:color w:val="000000" w:themeColor="text1"/>
                <w:sz w:val="24"/>
                <w:szCs w:val="21"/>
              </w:rPr>
              <w:t>（二）未依照批准的取水许可规定条件取水的。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8" w:hRule="atLeast"/>
          <w:jc w:val="center"/>
        </w:trPr>
        <w:tc>
          <w:tcPr>
            <w:tcW w:w="2022" w:type="dxa"/>
            <w:vMerge w:val="continue"/>
            <w:tcBorders>
              <w:tl2br w:val="nil"/>
              <w:tr2bl w:val="nil"/>
            </w:tcBorders>
            <w:shd w:val="clear" w:color="auto" w:fill="auto"/>
            <w:vAlign w:val="center"/>
          </w:tcPr>
          <w:p>
            <w:pPr>
              <w:widowControl/>
              <w:snapToGrid w:val="0"/>
              <w:spacing w:line="360" w:lineRule="exact"/>
              <w:jc w:val="left"/>
              <w:textAlignment w:val="center"/>
              <w:rPr>
                <w:color w:val="000000" w:themeColor="text1"/>
              </w:rPr>
            </w:pPr>
          </w:p>
        </w:tc>
        <w:tc>
          <w:tcPr>
            <w:tcW w:w="1843" w:type="dxa"/>
            <w:vMerge w:val="continue"/>
            <w:tcBorders>
              <w:tl2br w:val="nil"/>
              <w:tr2bl w:val="nil"/>
            </w:tcBorders>
            <w:shd w:val="clear" w:color="auto" w:fill="auto"/>
            <w:vAlign w:val="center"/>
          </w:tcPr>
          <w:p>
            <w:pPr>
              <w:widowControl/>
              <w:snapToGrid w:val="0"/>
              <w:spacing w:line="360" w:lineRule="exact"/>
              <w:jc w:val="left"/>
              <w:textAlignment w:val="center"/>
              <w:rPr>
                <w:color w:val="000000" w:themeColor="text1"/>
              </w:rPr>
            </w:pPr>
          </w:p>
        </w:tc>
        <w:tc>
          <w:tcPr>
            <w:tcW w:w="1842" w:type="dxa"/>
            <w:tcBorders>
              <w:tl2br w:val="nil"/>
              <w:tr2bl w:val="nil"/>
            </w:tcBorders>
            <w:shd w:val="clear" w:color="auto" w:fill="auto"/>
            <w:vAlign w:val="center"/>
          </w:tcPr>
          <w:p>
            <w:pPr>
              <w:widowControl/>
              <w:snapToGrid w:val="0"/>
              <w:spacing w:line="360" w:lineRule="exact"/>
              <w:jc w:val="left"/>
              <w:textAlignment w:val="center"/>
              <w:rPr>
                <w:rFonts w:ascii="仿宋" w:hAnsi="仿宋" w:cs="仿宋"/>
                <w:color w:val="000000" w:themeColor="text1"/>
                <w:szCs w:val="21"/>
              </w:rPr>
            </w:pPr>
            <w:r>
              <w:rPr>
                <w:rFonts w:hint="eastAsia" w:ascii="仿宋_GB2312" w:hAnsi="仿宋" w:eastAsia="仿宋_GB2312" w:cs="仿宋"/>
                <w:color w:val="000000" w:themeColor="text1"/>
                <w:sz w:val="24"/>
                <w:szCs w:val="21"/>
              </w:rPr>
              <w:t>《北京市节水条例》</w:t>
            </w:r>
          </w:p>
        </w:tc>
        <w:tc>
          <w:tcPr>
            <w:tcW w:w="8505" w:type="dxa"/>
            <w:tcBorders>
              <w:tl2br w:val="nil"/>
              <w:tr2bl w:val="nil"/>
            </w:tcBorders>
            <w:shd w:val="clear" w:color="auto" w:fill="auto"/>
            <w:vAlign w:val="center"/>
          </w:tcPr>
          <w:p>
            <w:pPr>
              <w:widowControl/>
              <w:shd w:val="clear" w:color="auto" w:fill="FFFFFF"/>
              <w:spacing w:line="400" w:lineRule="exact"/>
              <w:ind w:firstLine="481" w:firstLineChars="200"/>
              <w:jc w:val="left"/>
              <w:rPr>
                <w:rFonts w:ascii="仿宋_GB2312" w:hAnsi="微软雅黑" w:eastAsia="仿宋_GB2312" w:cs="宋体"/>
                <w:color w:val="000000" w:themeColor="text1"/>
                <w:kern w:val="0"/>
                <w:sz w:val="24"/>
              </w:rPr>
            </w:pPr>
            <w:r>
              <w:rPr>
                <w:rFonts w:hint="eastAsia" w:ascii="仿宋_GB2312" w:hAnsi="微软雅黑" w:eastAsia="仿宋_GB2312" w:cs="宋体"/>
                <w:b/>
                <w:color w:val="000000" w:themeColor="text1"/>
                <w:kern w:val="0"/>
                <w:sz w:val="24"/>
              </w:rPr>
              <w:t>第十八条</w:t>
            </w:r>
            <w:r>
              <w:rPr>
                <w:rFonts w:hint="eastAsia" w:ascii="仿宋_GB2312" w:hAnsi="仿宋" w:eastAsia="仿宋_GB2312" w:cs="仿宋"/>
                <w:color w:val="000000" w:themeColor="text1"/>
                <w:sz w:val="24"/>
                <w:szCs w:val="21"/>
              </w:rPr>
              <w:t>　</w:t>
            </w:r>
            <w:r>
              <w:rPr>
                <w:rFonts w:hint="eastAsia" w:ascii="仿宋_GB2312" w:hAnsi="微软雅黑" w:eastAsia="仿宋_GB2312" w:cs="宋体"/>
                <w:color w:val="000000" w:themeColor="text1"/>
                <w:kern w:val="0"/>
                <w:sz w:val="24"/>
              </w:rPr>
              <w:t>直接从河流、湖泊或者地下取水的单位和个人，依法需要申请取水许可的，应当向水务部门申请。</w:t>
            </w:r>
          </w:p>
          <w:p>
            <w:pPr>
              <w:widowControl/>
              <w:shd w:val="clear" w:color="auto" w:fill="FFFFFF"/>
              <w:spacing w:line="400" w:lineRule="exact"/>
              <w:ind w:firstLine="480" w:firstLineChars="200"/>
              <w:jc w:val="left"/>
              <w:rPr>
                <w:rFonts w:ascii="仿宋_GB2312" w:hAnsi="微软雅黑" w:eastAsia="仿宋_GB2312" w:cs="宋体"/>
                <w:color w:val="000000" w:themeColor="text1"/>
                <w:kern w:val="0"/>
                <w:sz w:val="24"/>
              </w:rPr>
            </w:pPr>
            <w:r>
              <w:rPr>
                <w:rFonts w:hint="eastAsia" w:ascii="仿宋_GB2312" w:hAnsi="微软雅黑" w:eastAsia="仿宋_GB2312" w:cs="宋体"/>
                <w:color w:val="000000" w:themeColor="text1"/>
                <w:kern w:val="0"/>
                <w:sz w:val="24"/>
              </w:rPr>
              <w:t>取水单位和个人应当按照取水许可规定条件取水，准确计量，加强取水、输水工程设施管理维护，严格控制取水、输水损失。</w:t>
            </w:r>
          </w:p>
          <w:p>
            <w:pPr>
              <w:widowControl/>
              <w:shd w:val="clear" w:color="auto" w:fill="FFFFFF"/>
              <w:spacing w:line="400" w:lineRule="exact"/>
              <w:ind w:firstLine="480" w:firstLineChars="200"/>
              <w:jc w:val="left"/>
              <w:rPr>
                <w:rFonts w:ascii="仿宋_GB2312" w:hAnsi="微软雅黑" w:eastAsia="仿宋_GB2312" w:cs="宋体"/>
                <w:color w:val="000000" w:themeColor="text1"/>
                <w:kern w:val="0"/>
                <w:sz w:val="24"/>
              </w:rPr>
            </w:pPr>
            <w:r>
              <w:rPr>
                <w:rFonts w:hint="eastAsia" w:ascii="仿宋_GB2312" w:hAnsi="微软雅黑" w:eastAsia="仿宋_GB2312" w:cs="宋体"/>
                <w:color w:val="000000" w:themeColor="text1"/>
                <w:kern w:val="0"/>
                <w:sz w:val="24"/>
              </w:rPr>
              <w:t>取水许可有效期届满需要延续的，取水单位和个人应当依法提出延续申请。有效期届满未提出延续申请或者延续申请未获得批准的，水务部门依法注销取水许可证。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7" w:hRule="atLeast"/>
          <w:jc w:val="center"/>
        </w:trPr>
        <w:tc>
          <w:tcPr>
            <w:tcW w:w="2022" w:type="dxa"/>
            <w:vMerge w:val="continue"/>
            <w:tcBorders>
              <w:tl2br w:val="nil"/>
              <w:tr2bl w:val="nil"/>
            </w:tcBorders>
            <w:shd w:val="clear" w:color="auto" w:fill="auto"/>
            <w:vAlign w:val="center"/>
          </w:tcPr>
          <w:p>
            <w:pPr>
              <w:widowControl/>
              <w:snapToGrid w:val="0"/>
              <w:spacing w:line="360" w:lineRule="exact"/>
              <w:jc w:val="center"/>
              <w:textAlignment w:val="bottom"/>
              <w:rPr>
                <w:rFonts w:ascii="宋体" w:hAnsi="宋体" w:eastAsia="宋体" w:cs="宋体"/>
                <w:color w:val="000000" w:themeColor="text1"/>
                <w:szCs w:val="21"/>
              </w:rPr>
            </w:pPr>
          </w:p>
        </w:tc>
        <w:tc>
          <w:tcPr>
            <w:tcW w:w="1843" w:type="dxa"/>
            <w:vMerge w:val="restart"/>
            <w:tcBorders>
              <w:tl2br w:val="nil"/>
              <w:tr2bl w:val="nil"/>
            </w:tcBorders>
            <w:shd w:val="clear" w:color="auto" w:fill="auto"/>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（四）污水排放</w:t>
            </w:r>
          </w:p>
        </w:tc>
        <w:tc>
          <w:tcPr>
            <w:tcW w:w="1842" w:type="dxa"/>
            <w:tcBorders>
              <w:tl2br w:val="nil"/>
              <w:tr2bl w:val="nil"/>
            </w:tcBorders>
            <w:shd w:val="clear" w:color="auto" w:fill="auto"/>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《城镇排水与污水处理条例》</w:t>
            </w:r>
          </w:p>
        </w:tc>
        <w:tc>
          <w:tcPr>
            <w:tcW w:w="8505" w:type="dxa"/>
            <w:tcBorders>
              <w:tl2br w:val="nil"/>
              <w:tr2bl w:val="nil"/>
            </w:tcBorders>
            <w:shd w:val="clear" w:color="auto" w:fill="auto"/>
            <w:vAlign w:val="center"/>
          </w:tcPr>
          <w:p>
            <w:pPr>
              <w:widowControl/>
              <w:snapToGrid w:val="0"/>
              <w:spacing w:line="400" w:lineRule="exact"/>
              <w:ind w:firstLine="481" w:firstLineChars="200"/>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b/>
                <w:bCs/>
                <w:color w:val="000000" w:themeColor="text1"/>
                <w:sz w:val="24"/>
                <w:szCs w:val="21"/>
              </w:rPr>
              <w:t>第十二条</w:t>
            </w:r>
            <w:r>
              <w:rPr>
                <w:rFonts w:hint="eastAsia" w:ascii="仿宋_GB2312" w:hAnsi="仿宋" w:eastAsia="仿宋_GB2312" w:cs="仿宋"/>
                <w:color w:val="000000" w:themeColor="text1"/>
                <w:sz w:val="24"/>
                <w:szCs w:val="21"/>
              </w:rPr>
              <w:t>　排水户应当按照排水许可证确定的排水类别、总量、时限、排放口位置和数量、排放的污染物项目和浓度等要求排放污水。</w:t>
            </w:r>
            <w:r>
              <w:rPr>
                <w:rFonts w:hint="eastAsia" w:ascii="仿宋_GB2312" w:hAnsi="仿宋" w:eastAsia="仿宋_GB2312" w:cs="仿宋"/>
                <w:color w:val="000000" w:themeColor="text1"/>
                <w:sz w:val="24"/>
                <w:szCs w:val="21"/>
              </w:rPr>
              <w:br w:type="textWrapping"/>
            </w:r>
            <w:r>
              <w:rPr>
                <w:rFonts w:hint="eastAsia" w:ascii="仿宋_GB2312" w:hAnsi="仿宋" w:eastAsia="仿宋_GB2312" w:cs="仿宋"/>
                <w:b/>
                <w:bCs/>
                <w:color w:val="000000" w:themeColor="text1"/>
                <w:sz w:val="24"/>
                <w:szCs w:val="21"/>
              </w:rPr>
              <w:t xml:space="preserve"> </w:t>
            </w:r>
            <w:r>
              <w:rPr>
                <w:rFonts w:ascii="仿宋_GB2312" w:hAnsi="仿宋" w:eastAsia="仿宋_GB2312" w:cs="仿宋"/>
                <w:b/>
                <w:bCs/>
                <w:color w:val="000000" w:themeColor="text1"/>
                <w:sz w:val="24"/>
                <w:szCs w:val="21"/>
              </w:rPr>
              <w:t xml:space="preserve">   </w:t>
            </w:r>
            <w:r>
              <w:rPr>
                <w:rFonts w:hint="eastAsia" w:ascii="仿宋_GB2312" w:hAnsi="仿宋" w:eastAsia="仿宋_GB2312" w:cs="仿宋"/>
                <w:b/>
                <w:bCs/>
                <w:color w:val="000000" w:themeColor="text1"/>
                <w:sz w:val="24"/>
                <w:szCs w:val="21"/>
              </w:rPr>
              <w:t>第二十一条第一款</w:t>
            </w:r>
            <w:r>
              <w:rPr>
                <w:rFonts w:hint="eastAsia" w:ascii="仿宋_GB2312" w:hAnsi="仿宋" w:eastAsia="仿宋_GB2312" w:cs="仿宋"/>
                <w:color w:val="000000" w:themeColor="text1"/>
                <w:sz w:val="24"/>
                <w:szCs w:val="21"/>
              </w:rPr>
              <w:t>　从事工业、建筑、餐饮、医疗等活动的企业事业单位、个体工商户（以下称排水户）向城镇排水设施排放污水的，应当向城镇排水主管部门申请领取污水排入排水管网许可证。城镇排水主管部门应当按照国家有关标准，重点对影响城镇排水与污水处理设施安全运行的事项进行审查。</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排水户应当按照污水排入排水管网许可证的要求排放污水。</w:t>
            </w:r>
          </w:p>
          <w:p>
            <w:pPr>
              <w:widowControl/>
              <w:snapToGrid w:val="0"/>
              <w:spacing w:line="400" w:lineRule="exact"/>
              <w:ind w:firstLine="481" w:firstLineChars="200"/>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b/>
                <w:bCs/>
                <w:color w:val="000000" w:themeColor="text1"/>
                <w:sz w:val="24"/>
                <w:szCs w:val="21"/>
              </w:rPr>
              <w:t>第五十条第一款</w:t>
            </w:r>
            <w:r>
              <w:rPr>
                <w:rFonts w:hint="eastAsia" w:ascii="仿宋_GB2312" w:hAnsi="仿宋" w:eastAsia="仿宋_GB2312" w:cs="仿宋"/>
                <w:color w:val="000000" w:themeColor="text1"/>
                <w:sz w:val="24"/>
                <w:szCs w:val="21"/>
              </w:rPr>
              <w:t>　违反本条例规定，排水户未取得污水排入排水管网许可证向城镇排水设施排放污水的，由城镇排水主管部门责令停止违法行为，限期采取治理措施，补办污水排入排水管网许可证，可以处50万元以下罚款；造成损失的，依法承担赔偿责任；构成犯罪的，依法追究刑事责任。</w:t>
            </w:r>
          </w:p>
          <w:p>
            <w:pPr>
              <w:widowControl/>
              <w:snapToGrid w:val="0"/>
              <w:spacing w:line="400" w:lineRule="exact"/>
              <w:ind w:firstLine="480" w:firstLineChars="200"/>
              <w:jc w:val="left"/>
              <w:textAlignment w:val="center"/>
              <w:rPr>
                <w:rFonts w:ascii="仿宋" w:hAnsi="仿宋" w:cs="仿宋"/>
                <w:color w:val="000000" w:themeColor="text1"/>
                <w:szCs w:val="21"/>
              </w:rPr>
            </w:pPr>
            <w:r>
              <w:rPr>
                <w:rFonts w:hint="eastAsia" w:ascii="仿宋_GB2312" w:hAnsi="仿宋" w:eastAsia="仿宋_GB2312" w:cs="仿宋"/>
                <w:color w:val="000000" w:themeColor="text1"/>
                <w:sz w:val="24"/>
                <w:szCs w:val="21"/>
              </w:rPr>
              <w:t>违反本条例规定，排水户不按照污水排入排水管网许可证的要求排放污水的，由城镇排水主管部门责令停止违法行为，限期改正，可以处5万元以下罚款；造成严重后果的，吊销污水排入排水管网许可证，并处5万元以上50万元以下罚款，可以向社会予以通报；造成损失的，依法承担赔偿责任；构成犯罪的，依法追究刑事责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5" w:hRule="atLeast"/>
          <w:jc w:val="center"/>
        </w:trPr>
        <w:tc>
          <w:tcPr>
            <w:tcW w:w="2022" w:type="dxa"/>
            <w:vMerge w:val="continue"/>
            <w:tcBorders>
              <w:tl2br w:val="nil"/>
              <w:tr2bl w:val="nil"/>
            </w:tcBorders>
            <w:shd w:val="clear" w:color="auto" w:fill="auto"/>
            <w:vAlign w:val="center"/>
          </w:tcPr>
          <w:p>
            <w:pPr>
              <w:widowControl/>
              <w:snapToGrid w:val="0"/>
              <w:spacing w:line="360" w:lineRule="exact"/>
              <w:jc w:val="left"/>
              <w:textAlignment w:val="center"/>
              <w:rPr>
                <w:color w:val="000000" w:themeColor="text1"/>
              </w:rPr>
            </w:pPr>
          </w:p>
        </w:tc>
        <w:tc>
          <w:tcPr>
            <w:tcW w:w="1843" w:type="dxa"/>
            <w:vMerge w:val="continue"/>
            <w:tcBorders>
              <w:tl2br w:val="nil"/>
              <w:tr2bl w:val="nil"/>
            </w:tcBorders>
            <w:shd w:val="clear" w:color="auto" w:fill="auto"/>
            <w:vAlign w:val="center"/>
          </w:tcPr>
          <w:p>
            <w:pPr>
              <w:widowControl/>
              <w:snapToGrid w:val="0"/>
              <w:spacing w:line="360" w:lineRule="exact"/>
              <w:jc w:val="left"/>
              <w:textAlignment w:val="center"/>
              <w:rPr>
                <w:color w:val="000000" w:themeColor="text1"/>
              </w:rPr>
            </w:pPr>
          </w:p>
        </w:tc>
        <w:tc>
          <w:tcPr>
            <w:tcW w:w="1842" w:type="dxa"/>
            <w:tcBorders>
              <w:tl2br w:val="nil"/>
              <w:tr2bl w:val="nil"/>
            </w:tcBorders>
            <w:shd w:val="clear" w:color="auto" w:fill="auto"/>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《城镇污水排入排水管网许可管理办法》</w:t>
            </w:r>
          </w:p>
        </w:tc>
        <w:tc>
          <w:tcPr>
            <w:tcW w:w="8505" w:type="dxa"/>
            <w:tcBorders>
              <w:tl2br w:val="nil"/>
              <w:tr2bl w:val="nil"/>
            </w:tcBorders>
            <w:shd w:val="clear" w:color="auto" w:fill="auto"/>
            <w:vAlign w:val="center"/>
          </w:tcPr>
          <w:p>
            <w:pPr>
              <w:widowControl/>
              <w:snapToGrid w:val="0"/>
              <w:spacing w:line="400" w:lineRule="exact"/>
              <w:ind w:firstLine="481" w:firstLineChars="200"/>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第二十七条</w:t>
            </w:r>
            <w:r>
              <w:rPr>
                <w:rFonts w:hint="eastAsia" w:ascii="仿宋_GB2312" w:hAnsi="仿宋" w:eastAsia="仿宋_GB2312" w:cs="仿宋"/>
                <w:color w:val="000000" w:themeColor="text1"/>
                <w:sz w:val="24"/>
                <w:szCs w:val="21"/>
              </w:rPr>
              <w:t>　排水户未按照污水排入排水管网许可证的要求，向城镇排水设施排放污水的，由城镇排水主管部门责令停止违法行为，限期改正，可以处5万元以下罚款；造成严重后果的，吊销排水许可证，并处5万元以上50万元以下罚款，对列入重点排污单位名录的排水户，处30万元以上50万元以下的罚款，并将有关情况通报同级环境保护主管部门，可以向社会予以通报；造成损失的，依法承担赔偿责任；构成犯罪的，依法追究刑事责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5" w:hRule="atLeast"/>
          <w:jc w:val="center"/>
        </w:trPr>
        <w:tc>
          <w:tcPr>
            <w:tcW w:w="2022" w:type="dxa"/>
            <w:vMerge w:val="continue"/>
            <w:tcBorders>
              <w:tl2br w:val="nil"/>
              <w:tr2bl w:val="nil"/>
            </w:tcBorders>
            <w:shd w:val="clear" w:color="auto" w:fill="auto"/>
            <w:vAlign w:val="center"/>
          </w:tcPr>
          <w:p>
            <w:pPr>
              <w:widowControl/>
              <w:snapToGrid w:val="0"/>
              <w:spacing w:line="360" w:lineRule="exact"/>
              <w:jc w:val="left"/>
              <w:textAlignment w:val="center"/>
              <w:rPr>
                <w:color w:val="000000" w:themeColor="text1"/>
              </w:rPr>
            </w:pPr>
          </w:p>
        </w:tc>
        <w:tc>
          <w:tcPr>
            <w:tcW w:w="1843" w:type="dxa"/>
            <w:vMerge w:val="continue"/>
            <w:tcBorders>
              <w:tl2br w:val="nil"/>
              <w:tr2bl w:val="nil"/>
            </w:tcBorders>
            <w:shd w:val="clear" w:color="auto" w:fill="auto"/>
            <w:vAlign w:val="center"/>
          </w:tcPr>
          <w:p>
            <w:pPr>
              <w:widowControl/>
              <w:snapToGrid w:val="0"/>
              <w:spacing w:line="360" w:lineRule="exact"/>
              <w:jc w:val="left"/>
              <w:textAlignment w:val="center"/>
              <w:rPr>
                <w:color w:val="000000" w:themeColor="text1"/>
              </w:rPr>
            </w:pPr>
          </w:p>
        </w:tc>
        <w:tc>
          <w:tcPr>
            <w:tcW w:w="1842" w:type="dxa"/>
            <w:tcBorders>
              <w:tl2br w:val="nil"/>
              <w:tr2bl w:val="nil"/>
            </w:tcBorders>
            <w:shd w:val="clear" w:color="auto" w:fill="auto"/>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《北京市排水和再生水管理办法》</w:t>
            </w:r>
          </w:p>
        </w:tc>
        <w:tc>
          <w:tcPr>
            <w:tcW w:w="8505" w:type="dxa"/>
            <w:tcBorders>
              <w:tl2br w:val="nil"/>
              <w:tr2bl w:val="nil"/>
            </w:tcBorders>
            <w:shd w:val="clear" w:color="auto" w:fill="auto"/>
            <w:vAlign w:val="center"/>
          </w:tcPr>
          <w:p>
            <w:pPr>
              <w:widowControl/>
              <w:snapToGrid w:val="0"/>
              <w:spacing w:line="400" w:lineRule="exact"/>
              <w:ind w:firstLine="481" w:firstLineChars="200"/>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b/>
                <w:color w:val="000000" w:themeColor="text1"/>
                <w:sz w:val="24"/>
                <w:szCs w:val="21"/>
              </w:rPr>
              <w:t>第十八条第四款</w:t>
            </w:r>
            <w:r>
              <w:rPr>
                <w:rFonts w:hint="eastAsia" w:ascii="仿宋_GB2312" w:hAnsi="仿宋" w:eastAsia="仿宋_GB2312" w:cs="仿宋"/>
                <w:color w:val="000000" w:themeColor="text1"/>
                <w:sz w:val="24"/>
                <w:szCs w:val="21"/>
              </w:rPr>
              <w:t>　禁止下列损害排水和再生水设施的行为：</w:t>
            </w:r>
          </w:p>
          <w:p>
            <w:pPr>
              <w:widowControl/>
              <w:numPr>
                <w:ilvl w:val="0"/>
                <w:numId w:val="7"/>
              </w:numPr>
              <w:snapToGrid w:val="0"/>
              <w:spacing w:line="400" w:lineRule="exact"/>
              <w:ind w:firstLine="480" w:firstLineChars="200"/>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向排水管网排放超标污水、有毒有害及易燃易爆物质。</w:t>
            </w:r>
            <w:r>
              <w:rPr>
                <w:rFonts w:hint="eastAsia" w:ascii="仿宋_GB2312" w:hAnsi="仿宋" w:eastAsia="仿宋_GB2312" w:cs="仿宋"/>
                <w:color w:val="000000" w:themeColor="text1"/>
                <w:sz w:val="24"/>
                <w:szCs w:val="21"/>
              </w:rPr>
              <w:br w:type="textWrapping"/>
            </w:r>
            <w:r>
              <w:rPr>
                <w:rFonts w:hint="eastAsia" w:ascii="仿宋_GB2312" w:hAnsi="仿宋" w:eastAsia="仿宋_GB2312" w:cs="仿宋"/>
                <w:color w:val="000000" w:themeColor="text1"/>
                <w:sz w:val="24"/>
                <w:szCs w:val="21"/>
              </w:rPr>
              <w:t xml:space="preserve"> </w:t>
            </w:r>
            <w:r>
              <w:rPr>
                <w:rFonts w:ascii="仿宋_GB2312" w:hAnsi="仿宋" w:eastAsia="仿宋_GB2312" w:cs="仿宋"/>
                <w:color w:val="000000" w:themeColor="text1"/>
                <w:sz w:val="24"/>
                <w:szCs w:val="21"/>
              </w:rPr>
              <w:t xml:space="preserve">   </w:t>
            </w:r>
            <w:r>
              <w:rPr>
                <w:rFonts w:hint="eastAsia" w:ascii="仿宋_GB2312" w:hAnsi="仿宋" w:eastAsia="仿宋_GB2312" w:cs="仿宋"/>
                <w:b/>
                <w:color w:val="000000" w:themeColor="text1"/>
                <w:sz w:val="24"/>
                <w:szCs w:val="21"/>
              </w:rPr>
              <w:t>第三十八条第一款</w:t>
            </w:r>
            <w:r>
              <w:rPr>
                <w:rFonts w:hint="eastAsia" w:ascii="仿宋_GB2312" w:hAnsi="仿宋" w:eastAsia="仿宋_GB2312" w:cs="仿宋"/>
                <w:color w:val="000000" w:themeColor="text1"/>
                <w:sz w:val="24"/>
                <w:szCs w:val="21"/>
              </w:rPr>
              <w:t>　违反本办法第十八条规定，损害排水和再生水设施的，责令限期改正，并可按照下列标准予以罚款；给他人造成损失的，依法承担赔偿责任：</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（一）违反第（一）项、第（二）项、第（三）项、第（四）项、第（七）项规定的，处1万元以上3万元以下罚款。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6" w:hRule="atLeast"/>
          <w:jc w:val="center"/>
        </w:trPr>
        <w:tc>
          <w:tcPr>
            <w:tcW w:w="2022" w:type="dxa"/>
            <w:vMerge w:val="continue"/>
            <w:tcBorders>
              <w:tl2br w:val="nil"/>
              <w:tr2bl w:val="nil"/>
            </w:tcBorders>
            <w:shd w:val="clear" w:color="auto" w:fill="auto"/>
            <w:vAlign w:val="center"/>
          </w:tcPr>
          <w:p>
            <w:pPr>
              <w:widowControl/>
              <w:snapToGrid w:val="0"/>
              <w:spacing w:line="360" w:lineRule="exact"/>
              <w:jc w:val="center"/>
              <w:textAlignment w:val="bottom"/>
              <w:rPr>
                <w:rFonts w:ascii="宋体" w:hAnsi="宋体" w:eastAsia="宋体" w:cs="宋体"/>
                <w:color w:val="000000" w:themeColor="text1"/>
                <w:szCs w:val="21"/>
              </w:rPr>
            </w:pPr>
          </w:p>
        </w:tc>
        <w:tc>
          <w:tcPr>
            <w:tcW w:w="1843" w:type="dxa"/>
            <w:tcBorders>
              <w:tl2br w:val="nil"/>
              <w:tr2bl w:val="nil"/>
            </w:tcBorders>
            <w:shd w:val="clear" w:color="auto" w:fill="auto"/>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（五）接受检查</w:t>
            </w:r>
          </w:p>
        </w:tc>
        <w:tc>
          <w:tcPr>
            <w:tcW w:w="1842" w:type="dxa"/>
            <w:tcBorders>
              <w:tl2br w:val="nil"/>
              <w:tr2bl w:val="nil"/>
            </w:tcBorders>
            <w:shd w:val="clear" w:color="auto" w:fill="auto"/>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《城镇污水排入排水管网许可管理办法》</w:t>
            </w:r>
          </w:p>
        </w:tc>
        <w:tc>
          <w:tcPr>
            <w:tcW w:w="8505" w:type="dxa"/>
            <w:tcBorders>
              <w:tl2br w:val="nil"/>
              <w:tr2bl w:val="nil"/>
            </w:tcBorders>
            <w:shd w:val="clear" w:color="auto" w:fill="auto"/>
            <w:vAlign w:val="center"/>
          </w:tcPr>
          <w:p>
            <w:pPr>
              <w:widowControl/>
              <w:snapToGrid w:val="0"/>
              <w:spacing w:line="400" w:lineRule="exact"/>
              <w:ind w:firstLine="481" w:firstLineChars="200"/>
              <w:textAlignment w:val="center"/>
              <w:rPr>
                <w:rFonts w:ascii="仿宋_GB2312" w:hAnsi="仿宋" w:eastAsia="仿宋_GB2312" w:cs="仿宋"/>
                <w:color w:val="000000" w:themeColor="text1"/>
                <w:sz w:val="24"/>
                <w:szCs w:val="21"/>
              </w:rPr>
            </w:pPr>
            <w:r>
              <w:rPr>
                <w:rFonts w:hint="eastAsia" w:ascii="仿宋_GB2312" w:hAnsi="仿宋" w:eastAsia="仿宋_GB2312" w:cs="仿宋"/>
                <w:b/>
                <w:bCs/>
                <w:color w:val="000000" w:themeColor="text1"/>
                <w:sz w:val="24"/>
                <w:szCs w:val="21"/>
              </w:rPr>
              <w:t>第十八条</w:t>
            </w:r>
            <w:r>
              <w:rPr>
                <w:rFonts w:hint="eastAsia" w:ascii="仿宋_GB2312" w:hAnsi="仿宋" w:eastAsia="仿宋_GB2312" w:cs="仿宋"/>
                <w:color w:val="000000" w:themeColor="text1"/>
                <w:sz w:val="24"/>
                <w:szCs w:val="21"/>
              </w:rPr>
              <w:t>城镇排水主管部门应当依照法律法规和本办法的规定，对排水户排放污水的情况实施监督检查。实施监督检查时，有权采取下列措施：</w:t>
            </w:r>
            <w:r>
              <w:rPr>
                <w:rFonts w:hint="eastAsia" w:ascii="仿宋_GB2312" w:hAnsi="仿宋" w:eastAsia="仿宋_GB2312" w:cs="仿宋"/>
                <w:color w:val="000000" w:themeColor="text1"/>
                <w:sz w:val="24"/>
                <w:szCs w:val="21"/>
              </w:rPr>
              <w:br w:type="textWrapping"/>
            </w:r>
            <w:r>
              <w:rPr>
                <w:rFonts w:hint="eastAsia" w:ascii="仿宋_GB2312" w:hAnsi="仿宋" w:eastAsia="仿宋_GB2312" w:cs="仿宋"/>
                <w:color w:val="000000" w:themeColor="text1"/>
                <w:sz w:val="24"/>
                <w:szCs w:val="21"/>
              </w:rPr>
              <w:t xml:space="preserve"> </w:t>
            </w:r>
            <w:r>
              <w:rPr>
                <w:rFonts w:ascii="仿宋_GB2312" w:hAnsi="仿宋" w:eastAsia="仿宋_GB2312" w:cs="仿宋"/>
                <w:color w:val="000000" w:themeColor="text1"/>
                <w:sz w:val="24"/>
                <w:szCs w:val="21"/>
              </w:rPr>
              <w:t xml:space="preserve">   </w:t>
            </w:r>
            <w:r>
              <w:rPr>
                <w:rFonts w:hint="eastAsia" w:ascii="仿宋_GB2312" w:hAnsi="仿宋" w:eastAsia="仿宋_GB2312" w:cs="仿宋"/>
                <w:color w:val="000000" w:themeColor="text1"/>
                <w:sz w:val="24"/>
                <w:szCs w:val="21"/>
              </w:rPr>
              <w:t>（一）进入现场开展检查、监测；</w:t>
            </w:r>
          </w:p>
          <w:p>
            <w:pPr>
              <w:widowControl/>
              <w:snapToGrid w:val="0"/>
              <w:spacing w:line="400" w:lineRule="exact"/>
              <w:ind w:firstLine="480" w:firstLineChars="200"/>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（二）要求被监督检查的排水户出示排水许可证；</w:t>
            </w:r>
          </w:p>
          <w:p>
            <w:pPr>
              <w:widowControl/>
              <w:snapToGrid w:val="0"/>
              <w:spacing w:line="400" w:lineRule="exact"/>
              <w:ind w:firstLine="480" w:firstLineChars="200"/>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（三）查阅、复制有关文件和材料；</w:t>
            </w:r>
          </w:p>
          <w:p>
            <w:pPr>
              <w:widowControl/>
              <w:snapToGrid w:val="0"/>
              <w:spacing w:line="400" w:lineRule="exact"/>
              <w:ind w:firstLine="480" w:firstLineChars="200"/>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（四）要求被监督检查的单位和个人就有关问题做出说明；</w:t>
            </w:r>
          </w:p>
          <w:p>
            <w:pPr>
              <w:widowControl/>
              <w:snapToGrid w:val="0"/>
              <w:spacing w:line="400" w:lineRule="exact"/>
              <w:ind w:firstLine="480" w:firstLineChars="200"/>
              <w:textAlignment w:val="center"/>
              <w:rPr>
                <w:rFonts w:ascii="仿宋_GB2312" w:hAnsi="仿宋" w:eastAsia="仿宋_GB2312" w:cs="仿宋"/>
                <w:color w:val="000000" w:themeColor="text1"/>
                <w:szCs w:val="21"/>
              </w:rPr>
            </w:pPr>
            <w:r>
              <w:rPr>
                <w:rFonts w:hint="eastAsia" w:ascii="仿宋_GB2312" w:hAnsi="仿宋" w:eastAsia="仿宋_GB2312" w:cs="仿宋"/>
                <w:color w:val="000000" w:themeColor="text1"/>
                <w:sz w:val="24"/>
                <w:szCs w:val="21"/>
              </w:rPr>
              <w:t>（五）依法采取禁止排水户向城镇排水设施排放污水等措施，纠正违反有关法律、法规和本办法规定的行为。</w:t>
            </w:r>
            <w:r>
              <w:rPr>
                <w:rFonts w:hint="eastAsia" w:ascii="仿宋_GB2312" w:hAnsi="仿宋" w:eastAsia="仿宋_GB2312" w:cs="仿宋"/>
                <w:color w:val="000000" w:themeColor="text1"/>
                <w:sz w:val="24"/>
                <w:szCs w:val="21"/>
              </w:rPr>
              <w:br w:type="textWrapping"/>
            </w:r>
            <w:r>
              <w:rPr>
                <w:rFonts w:hint="eastAsia" w:ascii="仿宋_GB2312" w:hAnsi="仿宋" w:eastAsia="仿宋_GB2312" w:cs="仿宋"/>
                <w:color w:val="000000" w:themeColor="text1"/>
                <w:sz w:val="24"/>
                <w:szCs w:val="21"/>
              </w:rPr>
              <w:t xml:space="preserve"> </w:t>
            </w:r>
            <w:r>
              <w:rPr>
                <w:rFonts w:ascii="仿宋_GB2312" w:hAnsi="仿宋" w:eastAsia="仿宋_GB2312" w:cs="仿宋"/>
                <w:color w:val="000000" w:themeColor="text1"/>
                <w:sz w:val="24"/>
                <w:szCs w:val="21"/>
              </w:rPr>
              <w:t xml:space="preserve">   </w:t>
            </w:r>
            <w:r>
              <w:rPr>
                <w:rFonts w:hint="eastAsia" w:ascii="仿宋_GB2312" w:hAnsi="仿宋" w:eastAsia="仿宋_GB2312" w:cs="仿宋"/>
                <w:color w:val="000000" w:themeColor="text1"/>
                <w:sz w:val="24"/>
                <w:szCs w:val="21"/>
              </w:rPr>
              <w:t>被监督检查的单位和个人应当予以配合，不得妨碍和阻挠依法进行的监督检查活动。</w:t>
            </w:r>
            <w:r>
              <w:rPr>
                <w:rFonts w:hint="eastAsia" w:ascii="仿宋_GB2312" w:hAnsi="仿宋" w:eastAsia="仿宋_GB2312" w:cs="仿宋"/>
                <w:color w:val="000000" w:themeColor="text1"/>
                <w:sz w:val="24"/>
                <w:szCs w:val="21"/>
              </w:rPr>
              <w:br w:type="textWrapping"/>
            </w:r>
            <w:r>
              <w:rPr>
                <w:rFonts w:hint="eastAsia" w:ascii="仿宋_GB2312" w:hAnsi="仿宋" w:eastAsia="仿宋_GB2312" w:cs="仿宋"/>
                <w:color w:val="000000" w:themeColor="text1"/>
                <w:sz w:val="24"/>
                <w:szCs w:val="21"/>
              </w:rPr>
              <w:t xml:space="preserve"> </w:t>
            </w:r>
            <w:r>
              <w:rPr>
                <w:rFonts w:ascii="仿宋_GB2312" w:hAnsi="仿宋" w:eastAsia="仿宋_GB2312" w:cs="仿宋"/>
                <w:color w:val="000000" w:themeColor="text1"/>
                <w:sz w:val="24"/>
                <w:szCs w:val="21"/>
              </w:rPr>
              <w:t xml:space="preserve">   </w:t>
            </w:r>
            <w:r>
              <w:rPr>
                <w:rFonts w:hint="eastAsia" w:ascii="仿宋_GB2312" w:hAnsi="仿宋" w:eastAsia="仿宋_GB2312" w:cs="仿宋"/>
                <w:b/>
                <w:color w:val="000000" w:themeColor="text1"/>
                <w:sz w:val="24"/>
                <w:szCs w:val="21"/>
              </w:rPr>
              <w:t>第三十二条</w:t>
            </w:r>
            <w:r>
              <w:rPr>
                <w:rFonts w:hint="eastAsia" w:ascii="仿宋_GB2312" w:hAnsi="仿宋" w:eastAsia="仿宋_GB2312" w:cs="仿宋"/>
                <w:color w:val="000000" w:themeColor="text1"/>
                <w:sz w:val="24"/>
                <w:szCs w:val="21"/>
              </w:rPr>
              <w:t>　排水户违反本办法规定，拒不接受水质、水量监测或者妨碍、阻 挠城镇排水主管部门依法监督检查的，由城镇排水主管部门给予警告；情节严重的，处3万元以下罚款。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88" w:hRule="atLeast"/>
          <w:jc w:val="center"/>
        </w:trPr>
        <w:tc>
          <w:tcPr>
            <w:tcW w:w="2022" w:type="dxa"/>
            <w:vMerge w:val="continue"/>
            <w:tcBorders>
              <w:tl2br w:val="nil"/>
              <w:tr2bl w:val="nil"/>
            </w:tcBorders>
            <w:shd w:val="clear" w:color="auto" w:fill="auto"/>
            <w:vAlign w:val="center"/>
          </w:tcPr>
          <w:p>
            <w:pPr>
              <w:widowControl/>
              <w:snapToGrid w:val="0"/>
              <w:spacing w:line="360" w:lineRule="exact"/>
              <w:jc w:val="center"/>
              <w:textAlignment w:val="bottom"/>
              <w:rPr>
                <w:rFonts w:ascii="宋体" w:hAnsi="宋体" w:eastAsia="宋体" w:cs="宋体"/>
                <w:color w:val="000000" w:themeColor="text1"/>
                <w:szCs w:val="21"/>
              </w:rPr>
            </w:pPr>
          </w:p>
        </w:tc>
        <w:tc>
          <w:tcPr>
            <w:tcW w:w="1843" w:type="dxa"/>
            <w:tcBorders>
              <w:tl2br w:val="nil"/>
              <w:tr2bl w:val="nil"/>
            </w:tcBorders>
            <w:shd w:val="clear" w:color="auto" w:fill="auto"/>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（六）节约用水</w:t>
            </w:r>
          </w:p>
        </w:tc>
        <w:tc>
          <w:tcPr>
            <w:tcW w:w="1842" w:type="dxa"/>
            <w:tcBorders>
              <w:tl2br w:val="nil"/>
              <w:tr2bl w:val="nil"/>
            </w:tcBorders>
            <w:shd w:val="clear" w:color="auto" w:fill="auto"/>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《北京市节水条例》</w:t>
            </w:r>
          </w:p>
        </w:tc>
        <w:tc>
          <w:tcPr>
            <w:tcW w:w="8505" w:type="dxa"/>
            <w:tcBorders>
              <w:tl2br w:val="nil"/>
              <w:tr2bl w:val="nil"/>
            </w:tcBorders>
            <w:shd w:val="clear" w:color="auto" w:fill="auto"/>
            <w:vAlign w:val="center"/>
          </w:tcPr>
          <w:p>
            <w:pPr>
              <w:pStyle w:val="47"/>
              <w:spacing w:after="0" w:line="400" w:lineRule="exact"/>
              <w:ind w:left="0" w:leftChars="0" w:firstLine="482"/>
              <w:rPr>
                <w:rFonts w:ascii="仿宋_GB2312" w:hAnsi="微软雅黑" w:eastAsia="仿宋_GB2312"/>
                <w:color w:val="000000" w:themeColor="text1"/>
                <w:sz w:val="24"/>
                <w:shd w:val="clear" w:color="auto" w:fill="FFFFFF"/>
              </w:rPr>
            </w:pPr>
            <w:r>
              <w:rPr>
                <w:rFonts w:hint="eastAsia" w:ascii="仿宋_GB2312" w:hAnsi="微软雅黑" w:eastAsia="仿宋_GB2312"/>
                <w:b/>
                <w:color w:val="000000" w:themeColor="text1"/>
                <w:sz w:val="24"/>
                <w:shd w:val="clear" w:color="auto" w:fill="FFFFFF"/>
              </w:rPr>
              <w:t>第二十二条</w:t>
            </w:r>
            <w:r>
              <w:rPr>
                <w:rFonts w:hint="eastAsia" w:ascii="仿宋_GB2312" w:hAnsi="仿宋" w:eastAsia="仿宋_GB2312" w:cs="仿宋"/>
                <w:color w:val="000000" w:themeColor="text1"/>
                <w:sz w:val="24"/>
                <w:szCs w:val="21"/>
              </w:rPr>
              <w:t>　</w:t>
            </w:r>
            <w:r>
              <w:rPr>
                <w:rFonts w:hint="eastAsia" w:ascii="仿宋_GB2312" w:hAnsi="微软雅黑" w:eastAsia="仿宋_GB2312"/>
                <w:color w:val="000000" w:themeColor="text1"/>
                <w:sz w:val="24"/>
                <w:shd w:val="clear" w:color="auto" w:fill="FFFFFF"/>
              </w:rPr>
              <w:t>供水管网超过使用年限或者工艺、材质不合格的，市、区人民政府应当制定改造计划，组织供水单位、物业服务人、用水户等有关单位和个人实施。</w:t>
            </w:r>
          </w:p>
          <w:p>
            <w:pPr>
              <w:widowControl/>
              <w:shd w:val="clear" w:color="auto" w:fill="FFFFFF"/>
              <w:spacing w:line="400" w:lineRule="exact"/>
              <w:ind w:firstLine="481" w:firstLineChars="200"/>
              <w:rPr>
                <w:rFonts w:ascii="仿宋_GB2312" w:hAnsi="微软雅黑" w:eastAsia="仿宋_GB2312" w:cs="宋体"/>
                <w:color w:val="000000" w:themeColor="text1"/>
                <w:kern w:val="0"/>
                <w:sz w:val="24"/>
              </w:rPr>
            </w:pPr>
            <w:r>
              <w:rPr>
                <w:rFonts w:hint="eastAsia" w:ascii="仿宋_GB2312" w:hAnsi="微软雅黑" w:eastAsia="仿宋_GB2312" w:cs="宋体"/>
                <w:b/>
                <w:color w:val="000000" w:themeColor="text1"/>
                <w:kern w:val="0"/>
                <w:sz w:val="24"/>
              </w:rPr>
              <w:t>第三十条</w:t>
            </w:r>
            <w:r>
              <w:rPr>
                <w:rFonts w:hint="eastAsia" w:ascii="仿宋_GB2312" w:hAnsi="仿宋" w:eastAsia="仿宋_GB2312" w:cs="仿宋"/>
                <w:color w:val="000000" w:themeColor="text1"/>
                <w:sz w:val="24"/>
                <w:szCs w:val="21"/>
              </w:rPr>
              <w:t>　</w:t>
            </w:r>
            <w:r>
              <w:rPr>
                <w:rFonts w:hint="eastAsia" w:ascii="仿宋_GB2312" w:hAnsi="微软雅黑" w:eastAsia="仿宋_GB2312" w:cs="宋体"/>
                <w:color w:val="000000" w:themeColor="text1"/>
                <w:kern w:val="0"/>
                <w:sz w:val="24"/>
              </w:rPr>
              <w:t>非居民用水户应当遵守下列规定：</w:t>
            </w:r>
          </w:p>
          <w:p>
            <w:pPr>
              <w:widowControl/>
              <w:shd w:val="clear" w:color="auto" w:fill="FFFFFF"/>
              <w:spacing w:line="400" w:lineRule="exact"/>
              <w:ind w:firstLine="480" w:firstLineChars="200"/>
              <w:rPr>
                <w:rFonts w:ascii="仿宋_GB2312" w:hAnsi="微软雅黑" w:eastAsia="仿宋_GB2312" w:cs="宋体"/>
                <w:color w:val="000000" w:themeColor="text1"/>
                <w:kern w:val="0"/>
                <w:sz w:val="24"/>
              </w:rPr>
            </w:pPr>
            <w:r>
              <w:rPr>
                <w:rFonts w:hint="eastAsia" w:ascii="仿宋_GB2312" w:hAnsi="微软雅黑" w:eastAsia="仿宋_GB2312" w:cs="宋体"/>
                <w:color w:val="000000" w:themeColor="text1"/>
                <w:kern w:val="0"/>
                <w:sz w:val="24"/>
              </w:rPr>
              <w:t>（一）明确负责节水工作的机构或者人员；</w:t>
            </w:r>
          </w:p>
          <w:p>
            <w:pPr>
              <w:widowControl/>
              <w:shd w:val="clear" w:color="auto" w:fill="FFFFFF"/>
              <w:spacing w:line="400" w:lineRule="exact"/>
              <w:ind w:firstLine="480" w:firstLineChars="200"/>
              <w:rPr>
                <w:rFonts w:ascii="仿宋_GB2312" w:hAnsi="微软雅黑" w:eastAsia="仿宋_GB2312" w:cs="宋体"/>
                <w:color w:val="000000" w:themeColor="text1"/>
                <w:kern w:val="0"/>
                <w:sz w:val="24"/>
              </w:rPr>
            </w:pPr>
            <w:r>
              <w:rPr>
                <w:rFonts w:hint="eastAsia" w:ascii="仿宋_GB2312" w:hAnsi="微软雅黑" w:eastAsia="仿宋_GB2312" w:cs="宋体"/>
                <w:color w:val="000000" w:themeColor="text1"/>
                <w:kern w:val="0"/>
                <w:sz w:val="24"/>
              </w:rPr>
              <w:t>（二）建立健全节水管理制度，开展节水宣传教育和培训，建设节水型单位；</w:t>
            </w:r>
          </w:p>
          <w:p>
            <w:pPr>
              <w:widowControl/>
              <w:shd w:val="clear" w:color="auto" w:fill="FFFFFF"/>
              <w:spacing w:line="400" w:lineRule="exact"/>
              <w:ind w:firstLine="480" w:firstLineChars="200"/>
              <w:rPr>
                <w:rFonts w:ascii="仿宋_GB2312" w:hAnsi="微软雅黑" w:eastAsia="仿宋_GB2312" w:cs="宋体"/>
                <w:color w:val="000000" w:themeColor="text1"/>
                <w:kern w:val="0"/>
                <w:sz w:val="24"/>
              </w:rPr>
            </w:pPr>
            <w:r>
              <w:rPr>
                <w:rFonts w:hint="eastAsia" w:ascii="仿宋_GB2312" w:hAnsi="微软雅黑" w:eastAsia="仿宋_GB2312" w:cs="宋体"/>
                <w:color w:val="000000" w:themeColor="text1"/>
                <w:kern w:val="0"/>
                <w:sz w:val="24"/>
              </w:rPr>
              <w:t>（三）创造条件利用雨水、再生水等非常规水源；</w:t>
            </w:r>
          </w:p>
          <w:p>
            <w:pPr>
              <w:widowControl/>
              <w:shd w:val="clear" w:color="auto" w:fill="FFFFFF"/>
              <w:spacing w:line="400" w:lineRule="exact"/>
              <w:ind w:firstLine="480" w:firstLineChars="200"/>
              <w:rPr>
                <w:rFonts w:ascii="仿宋_GB2312" w:hAnsi="微软雅黑" w:eastAsia="仿宋_GB2312" w:cs="宋体"/>
                <w:color w:val="000000" w:themeColor="text1"/>
                <w:kern w:val="0"/>
                <w:sz w:val="24"/>
              </w:rPr>
            </w:pPr>
            <w:r>
              <w:rPr>
                <w:rFonts w:hint="eastAsia" w:ascii="仿宋_GB2312" w:hAnsi="微软雅黑" w:eastAsia="仿宋_GB2312" w:cs="宋体"/>
                <w:color w:val="000000" w:themeColor="text1"/>
                <w:kern w:val="0"/>
                <w:sz w:val="24"/>
              </w:rPr>
              <w:t>（四）开展内部用水情况统计，实行两类以上不同用途用水分类装表计量和分级装表计量，加强水计量设施运行维护，建立用水台账；</w:t>
            </w:r>
          </w:p>
          <w:p>
            <w:pPr>
              <w:widowControl/>
              <w:shd w:val="clear" w:color="auto" w:fill="FFFFFF"/>
              <w:spacing w:line="400" w:lineRule="exact"/>
              <w:ind w:firstLine="480" w:firstLineChars="200"/>
              <w:rPr>
                <w:rFonts w:ascii="仿宋_GB2312" w:hAnsi="微软雅黑" w:eastAsia="仿宋_GB2312" w:cs="宋体"/>
                <w:color w:val="000000" w:themeColor="text1"/>
                <w:kern w:val="0"/>
                <w:sz w:val="24"/>
              </w:rPr>
            </w:pPr>
            <w:r>
              <w:rPr>
                <w:rFonts w:hint="eastAsia" w:ascii="仿宋_GB2312" w:hAnsi="微软雅黑" w:eastAsia="仿宋_GB2312" w:cs="宋体"/>
                <w:color w:val="000000" w:themeColor="text1"/>
                <w:kern w:val="0"/>
                <w:sz w:val="24"/>
              </w:rPr>
              <w:t>（五）改造或者更换国家明令淘汰的落后的、耗水量高的技术、工艺、设备和产品；</w:t>
            </w:r>
          </w:p>
          <w:p>
            <w:pPr>
              <w:widowControl/>
              <w:shd w:val="clear" w:color="auto" w:fill="FFFFFF"/>
              <w:spacing w:line="400" w:lineRule="exact"/>
              <w:ind w:firstLine="480" w:firstLineChars="200"/>
              <w:rPr>
                <w:rFonts w:ascii="仿宋_GB2312" w:hAnsi="微软雅黑" w:eastAsia="仿宋_GB2312" w:cs="宋体"/>
                <w:color w:val="000000" w:themeColor="text1"/>
                <w:kern w:val="0"/>
                <w:sz w:val="24"/>
              </w:rPr>
            </w:pPr>
            <w:r>
              <w:rPr>
                <w:rFonts w:hint="eastAsia" w:ascii="仿宋_GB2312" w:hAnsi="微软雅黑" w:eastAsia="仿宋_GB2312" w:cs="宋体"/>
                <w:color w:val="000000" w:themeColor="text1"/>
                <w:kern w:val="0"/>
                <w:sz w:val="24"/>
              </w:rPr>
              <w:t>（六）加强取用水设施设备的运行维护，保障节水设施正常运行，防止发生跑冒滴漏等情况。</w:t>
            </w:r>
          </w:p>
          <w:p>
            <w:pPr>
              <w:widowControl/>
              <w:shd w:val="clear" w:color="auto" w:fill="FFFFFF"/>
              <w:spacing w:line="400" w:lineRule="exact"/>
              <w:ind w:firstLine="481" w:firstLineChars="200"/>
              <w:rPr>
                <w:rFonts w:ascii="仿宋_GB2312" w:hAnsi="微软雅黑" w:eastAsia="仿宋_GB2312" w:cs="宋体"/>
                <w:color w:val="000000" w:themeColor="text1"/>
                <w:kern w:val="0"/>
                <w:sz w:val="24"/>
              </w:rPr>
            </w:pPr>
            <w:r>
              <w:rPr>
                <w:rFonts w:hint="eastAsia" w:ascii="仿宋_GB2312" w:hAnsi="微软雅黑" w:eastAsia="仿宋_GB2312" w:cs="宋体"/>
                <w:b/>
                <w:color w:val="000000" w:themeColor="text1"/>
                <w:kern w:val="0"/>
                <w:sz w:val="24"/>
              </w:rPr>
              <w:t>第三十二条</w:t>
            </w:r>
            <w:r>
              <w:rPr>
                <w:rFonts w:hint="eastAsia" w:ascii="仿宋_GB2312" w:hAnsi="仿宋" w:eastAsia="仿宋_GB2312" w:cs="仿宋"/>
                <w:color w:val="000000" w:themeColor="text1"/>
                <w:sz w:val="24"/>
                <w:szCs w:val="21"/>
              </w:rPr>
              <w:t>　</w:t>
            </w:r>
            <w:r>
              <w:rPr>
                <w:rFonts w:hint="eastAsia" w:ascii="仿宋_GB2312" w:hAnsi="微软雅黑" w:eastAsia="仿宋_GB2312" w:cs="宋体"/>
                <w:color w:val="000000" w:themeColor="text1"/>
                <w:kern w:val="0"/>
                <w:sz w:val="24"/>
              </w:rPr>
              <w:t>禁止产生或者使用有毒有害物质的单位将其生产用水管网与供水管网直接连接；禁止将再生水、供暖等非饮用水管网与供水管网连接；禁止将雨水管网、污水管网、再生水管网混接。</w:t>
            </w:r>
          </w:p>
          <w:p>
            <w:pPr>
              <w:widowControl/>
              <w:shd w:val="clear" w:color="auto" w:fill="FFFFFF"/>
              <w:spacing w:line="400" w:lineRule="exact"/>
              <w:ind w:firstLine="480" w:firstLineChars="200"/>
              <w:jc w:val="left"/>
              <w:rPr>
                <w:rFonts w:ascii="仿宋_GB2312" w:hAnsi="微软雅黑" w:eastAsia="仿宋_GB2312" w:cs="宋体"/>
                <w:color w:val="000000" w:themeColor="text1"/>
                <w:kern w:val="0"/>
                <w:sz w:val="24"/>
              </w:rPr>
            </w:pPr>
            <w:r>
              <w:rPr>
                <w:rFonts w:hint="eastAsia" w:ascii="仿宋_GB2312" w:hAnsi="微软雅黑" w:eastAsia="仿宋_GB2312" w:cs="宋体"/>
                <w:color w:val="000000" w:themeColor="text1"/>
                <w:kern w:val="0"/>
                <w:sz w:val="24"/>
              </w:rPr>
              <w:t>禁止破坏或者损坏供水管网、雨水管网、污水管网、再生水管网及其附属设施。</w:t>
            </w:r>
          </w:p>
          <w:p>
            <w:pPr>
              <w:widowControl/>
              <w:shd w:val="clear" w:color="auto" w:fill="FFFFFF"/>
              <w:spacing w:line="400" w:lineRule="exact"/>
              <w:ind w:firstLine="481" w:firstLineChars="200"/>
              <w:rPr>
                <w:rFonts w:ascii="仿宋_GB2312" w:hAnsi="微软雅黑" w:eastAsia="仿宋_GB2312" w:cs="宋体"/>
                <w:color w:val="000000" w:themeColor="text1"/>
                <w:kern w:val="0"/>
                <w:sz w:val="24"/>
              </w:rPr>
            </w:pPr>
            <w:r>
              <w:rPr>
                <w:rFonts w:hint="eastAsia" w:ascii="仿宋_GB2312" w:hAnsi="微软雅黑" w:eastAsia="仿宋_GB2312" w:cs="宋体"/>
                <w:b/>
                <w:color w:val="000000" w:themeColor="text1"/>
                <w:kern w:val="0"/>
                <w:sz w:val="24"/>
              </w:rPr>
              <w:t>第三十五条第三款</w:t>
            </w:r>
            <w:r>
              <w:rPr>
                <w:rFonts w:hint="eastAsia" w:ascii="仿宋_GB2312" w:hAnsi="仿宋" w:eastAsia="仿宋_GB2312" w:cs="仿宋"/>
                <w:color w:val="000000" w:themeColor="text1"/>
                <w:sz w:val="24"/>
                <w:szCs w:val="21"/>
              </w:rPr>
              <w:t>　</w:t>
            </w:r>
            <w:r>
              <w:rPr>
                <w:rFonts w:hint="eastAsia" w:ascii="仿宋_GB2312" w:hAnsi="微软雅黑" w:eastAsia="仿宋_GB2312" w:cs="宋体"/>
                <w:color w:val="000000" w:themeColor="text1"/>
                <w:kern w:val="0"/>
                <w:sz w:val="24"/>
              </w:rPr>
              <w:t>住宅小区、单位内部的景观用水禁止使用地下水、自来水。</w:t>
            </w:r>
          </w:p>
          <w:p>
            <w:pPr>
              <w:widowControl/>
              <w:shd w:val="clear" w:color="auto" w:fill="FFFFFF"/>
              <w:spacing w:line="400" w:lineRule="exact"/>
              <w:ind w:firstLine="481" w:firstLineChars="200"/>
              <w:rPr>
                <w:rFonts w:ascii="仿宋_GB2312" w:hAnsi="微软雅黑" w:eastAsia="仿宋_GB2312" w:cs="宋体"/>
                <w:color w:val="000000" w:themeColor="text1"/>
                <w:kern w:val="0"/>
                <w:sz w:val="24"/>
              </w:rPr>
            </w:pPr>
            <w:r>
              <w:rPr>
                <w:rFonts w:hint="eastAsia" w:ascii="仿宋_GB2312" w:hAnsi="微软雅黑" w:eastAsia="仿宋_GB2312" w:cs="宋体"/>
                <w:b/>
                <w:color w:val="000000" w:themeColor="text1"/>
                <w:kern w:val="0"/>
                <w:sz w:val="24"/>
              </w:rPr>
              <w:t>第四十三条</w:t>
            </w:r>
            <w:r>
              <w:rPr>
                <w:rFonts w:hint="eastAsia" w:ascii="仿宋_GB2312" w:hAnsi="微软雅黑" w:eastAsia="仿宋_GB2312" w:cs="宋体"/>
                <w:color w:val="000000" w:themeColor="text1"/>
                <w:kern w:val="0"/>
                <w:sz w:val="24"/>
              </w:rPr>
              <w:t xml:space="preserve"> 再生水输配管网覆盖范围内的用水户，符合下列情形之一的，应当使用再生水：</w:t>
            </w:r>
          </w:p>
          <w:p>
            <w:pPr>
              <w:widowControl/>
              <w:shd w:val="clear" w:color="auto" w:fill="FFFFFF"/>
              <w:spacing w:line="400" w:lineRule="exact"/>
              <w:ind w:firstLine="200"/>
              <w:rPr>
                <w:rFonts w:ascii="仿宋_GB2312" w:hAnsi="微软雅黑" w:eastAsia="仿宋_GB2312" w:cs="宋体"/>
                <w:color w:val="000000" w:themeColor="text1"/>
                <w:kern w:val="0"/>
                <w:sz w:val="24"/>
              </w:rPr>
            </w:pPr>
            <w:r>
              <w:rPr>
                <w:rFonts w:hint="eastAsia" w:ascii="仿宋_GB2312" w:hAnsi="微软雅黑" w:eastAsia="仿宋_GB2312" w:cs="宋体"/>
                <w:color w:val="000000" w:themeColor="text1"/>
                <w:kern w:val="0"/>
                <w:sz w:val="24"/>
              </w:rPr>
              <w:t>　（一）园林绿化、环境卫生、建筑施工等行业用水；</w:t>
            </w:r>
          </w:p>
          <w:p>
            <w:pPr>
              <w:widowControl/>
              <w:shd w:val="clear" w:color="auto" w:fill="FFFFFF"/>
              <w:spacing w:line="400" w:lineRule="exact"/>
              <w:ind w:firstLine="200"/>
              <w:rPr>
                <w:rFonts w:ascii="仿宋_GB2312" w:hAnsi="微软雅黑" w:eastAsia="仿宋_GB2312" w:cs="宋体"/>
                <w:color w:val="000000" w:themeColor="text1"/>
                <w:kern w:val="0"/>
                <w:sz w:val="24"/>
              </w:rPr>
            </w:pPr>
            <w:r>
              <w:rPr>
                <w:rFonts w:hint="eastAsia" w:ascii="仿宋_GB2312" w:hAnsi="微软雅黑" w:eastAsia="仿宋_GB2312" w:cs="宋体"/>
                <w:color w:val="000000" w:themeColor="text1"/>
                <w:kern w:val="0"/>
                <w:sz w:val="24"/>
              </w:rPr>
              <w:t>　（二）冷却用水、洗涤用水、工艺用水等工业生产用水；</w:t>
            </w:r>
          </w:p>
          <w:p>
            <w:pPr>
              <w:widowControl/>
              <w:shd w:val="clear" w:color="auto" w:fill="FFFFFF"/>
              <w:spacing w:line="400" w:lineRule="exact"/>
              <w:ind w:firstLine="200"/>
              <w:rPr>
                <w:rFonts w:ascii="仿宋_GB2312" w:hAnsi="微软雅黑" w:eastAsia="仿宋_GB2312" w:cs="宋体"/>
                <w:color w:val="000000" w:themeColor="text1"/>
                <w:kern w:val="0"/>
                <w:sz w:val="24"/>
              </w:rPr>
            </w:pPr>
            <w:r>
              <w:rPr>
                <w:rFonts w:hint="eastAsia" w:ascii="仿宋_GB2312" w:hAnsi="微软雅黑" w:eastAsia="仿宋_GB2312" w:cs="宋体"/>
                <w:color w:val="000000" w:themeColor="text1"/>
                <w:kern w:val="0"/>
                <w:sz w:val="24"/>
              </w:rPr>
              <w:t>　（三）公共区域、住宅小区和单位内部的景观用水；</w:t>
            </w:r>
          </w:p>
          <w:p>
            <w:pPr>
              <w:widowControl/>
              <w:shd w:val="clear" w:color="auto" w:fill="FFFFFF"/>
              <w:spacing w:line="400" w:lineRule="exact"/>
              <w:ind w:firstLine="200"/>
              <w:rPr>
                <w:rFonts w:ascii="仿宋_GB2312" w:hAnsi="微软雅黑" w:eastAsia="仿宋_GB2312" w:cs="宋体"/>
                <w:color w:val="000000" w:themeColor="text1"/>
                <w:kern w:val="0"/>
                <w:sz w:val="24"/>
              </w:rPr>
            </w:pPr>
            <w:r>
              <w:rPr>
                <w:rFonts w:hint="eastAsia" w:ascii="仿宋_GB2312" w:hAnsi="微软雅黑" w:eastAsia="仿宋_GB2312" w:cs="宋体"/>
                <w:color w:val="000000" w:themeColor="text1"/>
                <w:kern w:val="0"/>
                <w:sz w:val="24"/>
              </w:rPr>
              <w:t>　（四）降尘、道路清扫、车辆冲洗等其他市政杂用水。</w:t>
            </w:r>
          </w:p>
          <w:p>
            <w:pPr>
              <w:widowControl/>
              <w:shd w:val="clear" w:color="auto" w:fill="FFFFFF"/>
              <w:spacing w:line="400" w:lineRule="exact"/>
              <w:ind w:firstLine="480" w:firstLineChars="200"/>
              <w:rPr>
                <w:rFonts w:ascii="仿宋_GB2312" w:hAnsi="微软雅黑" w:eastAsia="仿宋_GB2312" w:cs="宋体"/>
                <w:color w:val="000000" w:themeColor="text1"/>
                <w:kern w:val="0"/>
                <w:sz w:val="24"/>
              </w:rPr>
            </w:pPr>
            <w:r>
              <w:rPr>
                <w:rFonts w:hint="eastAsia" w:ascii="仿宋_GB2312" w:hAnsi="微软雅黑" w:eastAsia="仿宋_GB2312" w:cs="宋体"/>
                <w:color w:val="000000" w:themeColor="text1"/>
                <w:kern w:val="0"/>
                <w:sz w:val="24"/>
              </w:rPr>
              <w:t>具备再生水利用条件的非居民用水户，水务部门应当将再生水用量纳入其用水指标，同步合理减少其地下水、自来水的用水指标。</w:t>
            </w:r>
          </w:p>
          <w:p>
            <w:pPr>
              <w:widowControl/>
              <w:shd w:val="clear" w:color="auto" w:fill="FFFFFF"/>
              <w:spacing w:line="400" w:lineRule="exact"/>
              <w:ind w:firstLine="481" w:firstLineChars="200"/>
              <w:rPr>
                <w:rFonts w:ascii="仿宋_GB2312" w:hAnsi="微软雅黑" w:eastAsia="仿宋_GB2312" w:cs="宋体"/>
                <w:color w:val="000000" w:themeColor="text1"/>
                <w:kern w:val="0"/>
                <w:sz w:val="24"/>
              </w:rPr>
            </w:pPr>
            <w:r>
              <w:rPr>
                <w:rFonts w:hint="eastAsia" w:ascii="仿宋_GB2312" w:hAnsi="微软雅黑" w:eastAsia="仿宋_GB2312" w:cs="宋体"/>
                <w:b/>
                <w:color w:val="000000" w:themeColor="text1"/>
                <w:kern w:val="0"/>
                <w:sz w:val="24"/>
              </w:rPr>
              <w:t>第四十四条</w:t>
            </w:r>
            <w:r>
              <w:rPr>
                <w:rFonts w:hint="eastAsia" w:ascii="仿宋_GB2312" w:hAnsi="微软雅黑" w:eastAsia="仿宋_GB2312" w:cs="宋体"/>
                <w:color w:val="000000" w:themeColor="text1"/>
                <w:kern w:val="0"/>
                <w:sz w:val="24"/>
              </w:rPr>
              <w:t xml:space="preserve"> 鼓励非居民用水户收集、循环使用或者回收使用设备冷却水、空调冷却水、锅炉冷凝水，循环利用率不低于国家和本市规定的标准。</w:t>
            </w:r>
          </w:p>
          <w:p>
            <w:pPr>
              <w:widowControl/>
              <w:shd w:val="clear" w:color="auto" w:fill="FFFFFF"/>
              <w:spacing w:line="400" w:lineRule="exact"/>
              <w:ind w:firstLine="481" w:firstLineChars="200"/>
              <w:rPr>
                <w:rFonts w:ascii="仿宋_GB2312" w:hAnsi="微软雅黑" w:eastAsia="仿宋_GB2312" w:cs="宋体"/>
                <w:b/>
                <w:color w:val="000000" w:themeColor="text1"/>
                <w:kern w:val="0"/>
                <w:sz w:val="24"/>
              </w:rPr>
            </w:pPr>
          </w:p>
          <w:p>
            <w:pPr>
              <w:widowControl/>
              <w:shd w:val="clear" w:color="auto" w:fill="FFFFFF"/>
              <w:spacing w:line="400" w:lineRule="exact"/>
              <w:ind w:firstLine="481" w:firstLineChars="200"/>
              <w:rPr>
                <w:rFonts w:ascii="仿宋_GB2312" w:hAnsi="微软雅黑" w:eastAsia="仿宋_GB2312" w:cs="宋体"/>
                <w:color w:val="000000" w:themeColor="text1"/>
                <w:kern w:val="0"/>
                <w:sz w:val="24"/>
              </w:rPr>
            </w:pPr>
            <w:r>
              <w:rPr>
                <w:rFonts w:hint="eastAsia" w:ascii="仿宋_GB2312" w:hAnsi="微软雅黑" w:eastAsia="仿宋_GB2312" w:cs="宋体"/>
                <w:b/>
                <w:color w:val="000000" w:themeColor="text1"/>
                <w:kern w:val="0"/>
                <w:sz w:val="24"/>
              </w:rPr>
              <w:t>第六十二条</w:t>
            </w:r>
            <w:r>
              <w:rPr>
                <w:rFonts w:hint="eastAsia" w:ascii="仿宋_GB2312" w:hAnsi="仿宋" w:eastAsia="仿宋_GB2312" w:cs="仿宋"/>
                <w:color w:val="000000" w:themeColor="text1"/>
                <w:sz w:val="24"/>
                <w:szCs w:val="21"/>
              </w:rPr>
              <w:t>　</w:t>
            </w:r>
            <w:r>
              <w:rPr>
                <w:rFonts w:hint="eastAsia" w:ascii="仿宋_GB2312" w:hAnsi="微软雅黑" w:eastAsia="仿宋_GB2312" w:cs="宋体"/>
                <w:color w:val="000000" w:themeColor="text1"/>
                <w:kern w:val="0"/>
                <w:sz w:val="24"/>
              </w:rPr>
              <w:t>违反本条例第三十条第六项规定，非居民用水户未保障节水设施正常运行，造成浪费用水的，由水务部门责令限期改正；逾期不改正的，处五万元以下罚款。</w:t>
            </w:r>
          </w:p>
          <w:p>
            <w:pPr>
              <w:widowControl/>
              <w:shd w:val="clear" w:color="auto" w:fill="FFFFFF"/>
              <w:spacing w:line="400" w:lineRule="exact"/>
              <w:ind w:firstLine="481" w:firstLineChars="200"/>
              <w:rPr>
                <w:rFonts w:ascii="仿宋_GB2312" w:hAnsi="微软雅黑" w:eastAsia="仿宋_GB2312" w:cs="宋体"/>
                <w:color w:val="000000" w:themeColor="text1"/>
                <w:kern w:val="0"/>
                <w:sz w:val="24"/>
              </w:rPr>
            </w:pPr>
            <w:r>
              <w:rPr>
                <w:rFonts w:hint="eastAsia" w:ascii="仿宋_GB2312" w:hAnsi="微软雅黑" w:eastAsia="仿宋_GB2312" w:cs="宋体"/>
                <w:b/>
                <w:color w:val="000000" w:themeColor="text1"/>
                <w:kern w:val="0"/>
                <w:sz w:val="24"/>
              </w:rPr>
              <w:t>第六十三条</w:t>
            </w:r>
            <w:r>
              <w:rPr>
                <w:rFonts w:hint="eastAsia" w:ascii="仿宋_GB2312" w:hAnsi="仿宋" w:eastAsia="仿宋_GB2312" w:cs="仿宋"/>
                <w:color w:val="000000" w:themeColor="text1"/>
                <w:sz w:val="24"/>
                <w:szCs w:val="21"/>
              </w:rPr>
              <w:t>　</w:t>
            </w:r>
            <w:r>
              <w:rPr>
                <w:rFonts w:hint="eastAsia" w:ascii="仿宋_GB2312" w:hAnsi="微软雅黑" w:eastAsia="仿宋_GB2312" w:cs="宋体"/>
                <w:color w:val="000000" w:themeColor="text1"/>
                <w:kern w:val="0"/>
                <w:sz w:val="24"/>
              </w:rPr>
              <w:t>违反本条例第三十二条第一款规定，由水务部门责令停止违法行为，限期恢复原状或者采取其他补救措施并承担相关费用，对单位处五万元以上十万元以下罚款，对个人处一万元以上五万元以下罚款：</w:t>
            </w:r>
          </w:p>
          <w:p>
            <w:pPr>
              <w:widowControl/>
              <w:shd w:val="clear" w:color="auto" w:fill="FFFFFF"/>
              <w:spacing w:line="400" w:lineRule="exact"/>
              <w:ind w:firstLine="480" w:firstLineChars="200"/>
              <w:jc w:val="left"/>
              <w:rPr>
                <w:rFonts w:ascii="仿宋_GB2312" w:hAnsi="微软雅黑" w:eastAsia="仿宋_GB2312" w:cs="宋体"/>
                <w:color w:val="000000" w:themeColor="text1"/>
                <w:kern w:val="0"/>
                <w:sz w:val="24"/>
              </w:rPr>
            </w:pPr>
            <w:r>
              <w:rPr>
                <w:rFonts w:hint="eastAsia" w:ascii="仿宋_GB2312" w:hAnsi="微软雅黑" w:eastAsia="仿宋_GB2312" w:cs="宋体"/>
                <w:color w:val="000000" w:themeColor="text1"/>
                <w:kern w:val="0"/>
                <w:sz w:val="24"/>
              </w:rPr>
              <w:t>违反本条例第三十二条第二款规定，破坏或者损坏供水管网、雨水管网、污水管网、再生水管网及其附属设施的，由水务部门责令改正，恢复原状或者采取其他补救措施，处十万元以下罚款；造成严重后果的，处十万元以上三十万元以下罚款；造成损失的，依法承担赔偿责任；构成犯罪的，依法追究刑事责任。</w:t>
            </w:r>
          </w:p>
          <w:p>
            <w:pPr>
              <w:widowControl/>
              <w:snapToGrid w:val="0"/>
              <w:spacing w:line="360" w:lineRule="exact"/>
              <w:ind w:firstLine="481" w:firstLineChars="200"/>
              <w:jc w:val="left"/>
              <w:textAlignment w:val="center"/>
              <w:rPr>
                <w:rFonts w:ascii="仿宋_GB2312" w:hAnsi="微软雅黑" w:eastAsia="仿宋_GB2312" w:cs="宋体"/>
                <w:color w:val="000000" w:themeColor="text1"/>
                <w:kern w:val="0"/>
                <w:sz w:val="24"/>
              </w:rPr>
            </w:pPr>
            <w:r>
              <w:rPr>
                <w:rFonts w:hint="eastAsia" w:ascii="仿宋_GB2312" w:hAnsi="微软雅黑" w:eastAsia="仿宋_GB2312" w:cs="宋体"/>
                <w:b/>
                <w:color w:val="000000" w:themeColor="text1"/>
                <w:kern w:val="0"/>
                <w:sz w:val="24"/>
              </w:rPr>
              <w:t>第六十四条第二款</w:t>
            </w:r>
            <w:r>
              <w:rPr>
                <w:rFonts w:hint="eastAsia" w:ascii="仿宋_GB2312" w:hAnsi="微软雅黑" w:eastAsia="仿宋_GB2312" w:cs="宋体"/>
                <w:color w:val="000000" w:themeColor="text1"/>
                <w:kern w:val="0"/>
                <w:sz w:val="24"/>
              </w:rPr>
              <w:t>　违反本条例第三十五条第三款规定，住宅小区、单位内部的景观用水使用地下水、自来水的，由水务部门责令限期改正；逾期不改正的，处一万元以上三万元以下罚款。</w:t>
            </w:r>
          </w:p>
          <w:p>
            <w:pPr>
              <w:pStyle w:val="2"/>
              <w:numPr>
                <w:ilvl w:val="0"/>
                <w:numId w:val="0"/>
              </w:numPr>
              <w:ind w:left="420"/>
              <w:rPr>
                <w:color w:val="000000" w:themeColor="text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76" w:hRule="atLeast"/>
          <w:jc w:val="center"/>
        </w:trPr>
        <w:tc>
          <w:tcPr>
            <w:tcW w:w="2022" w:type="dxa"/>
            <w:vMerge w:val="continue"/>
            <w:tcBorders>
              <w:tl2br w:val="nil"/>
              <w:tr2bl w:val="nil"/>
            </w:tcBorders>
            <w:shd w:val="clear" w:color="auto" w:fill="auto"/>
            <w:vAlign w:val="center"/>
          </w:tcPr>
          <w:p>
            <w:pPr>
              <w:widowControl/>
              <w:snapToGrid w:val="0"/>
              <w:spacing w:line="360" w:lineRule="exact"/>
              <w:jc w:val="center"/>
              <w:textAlignment w:val="bottom"/>
              <w:rPr>
                <w:rFonts w:ascii="宋体" w:hAnsi="宋体" w:eastAsia="宋体" w:cs="宋体"/>
                <w:color w:val="000000" w:themeColor="text1"/>
                <w:szCs w:val="21"/>
              </w:rPr>
            </w:pPr>
          </w:p>
        </w:tc>
        <w:tc>
          <w:tcPr>
            <w:tcW w:w="1843" w:type="dxa"/>
            <w:vMerge w:val="restart"/>
            <w:tcBorders>
              <w:tl2br w:val="nil"/>
              <w:tr2bl w:val="nil"/>
            </w:tcBorders>
            <w:shd w:val="clear" w:color="auto" w:fill="auto"/>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（七）管线管理</w:t>
            </w:r>
          </w:p>
        </w:tc>
        <w:tc>
          <w:tcPr>
            <w:tcW w:w="1842" w:type="dxa"/>
            <w:tcBorders>
              <w:tl2br w:val="nil"/>
              <w:tr2bl w:val="nil"/>
            </w:tcBorders>
            <w:shd w:val="clear" w:color="auto" w:fill="auto"/>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《北京市城市公共供水管理办法》</w:t>
            </w:r>
          </w:p>
        </w:tc>
        <w:tc>
          <w:tcPr>
            <w:tcW w:w="8505" w:type="dxa"/>
            <w:tcBorders>
              <w:tl2br w:val="nil"/>
              <w:tr2bl w:val="nil"/>
            </w:tcBorders>
            <w:shd w:val="clear" w:color="auto" w:fill="auto"/>
            <w:vAlign w:val="center"/>
          </w:tcPr>
          <w:p>
            <w:pPr>
              <w:widowControl/>
              <w:snapToGrid w:val="0"/>
              <w:spacing w:line="360" w:lineRule="exact"/>
              <w:ind w:firstLine="481" w:firstLineChars="200"/>
              <w:jc w:val="left"/>
              <w:textAlignment w:val="center"/>
              <w:rPr>
                <w:rFonts w:ascii="仿宋_GB2312" w:hAnsi="微软雅黑" w:eastAsia="仿宋_GB2312" w:cs="宋体"/>
                <w:color w:val="000000" w:themeColor="text1"/>
                <w:kern w:val="0"/>
                <w:sz w:val="24"/>
              </w:rPr>
            </w:pPr>
            <w:r>
              <w:rPr>
                <w:rFonts w:hint="eastAsia" w:ascii="仿宋_GB2312" w:hAnsi="微软雅黑" w:eastAsia="仿宋_GB2312" w:cs="宋体"/>
                <w:b/>
                <w:color w:val="000000" w:themeColor="text1"/>
                <w:kern w:val="0"/>
                <w:sz w:val="24"/>
              </w:rPr>
              <w:t>第十五条第一款</w:t>
            </w:r>
            <w:r>
              <w:rPr>
                <w:rFonts w:hint="eastAsia" w:ascii="仿宋_GB2312" w:hAnsi="微软雅黑" w:eastAsia="仿宋_GB2312" w:cs="宋体"/>
                <w:color w:val="000000" w:themeColor="text1"/>
                <w:kern w:val="0"/>
                <w:sz w:val="24"/>
              </w:rPr>
              <w:t>　公用消火栓由供水企业负责维修管理，公安机关消防机构负责监督检查。除发生火灾时，任何单位和个人不得动用。</w:t>
            </w:r>
            <w:r>
              <w:rPr>
                <w:rFonts w:hint="eastAsia" w:ascii="仿宋_GB2312" w:hAnsi="微软雅黑" w:eastAsia="仿宋_GB2312" w:cs="宋体"/>
                <w:color w:val="000000" w:themeColor="text1"/>
                <w:kern w:val="0"/>
                <w:sz w:val="24"/>
              </w:rPr>
              <w:br w:type="textWrapping"/>
            </w:r>
            <w:r>
              <w:rPr>
                <w:rFonts w:hint="eastAsia" w:ascii="仿宋_GB2312" w:hAnsi="微软雅黑" w:eastAsia="仿宋_GB2312" w:cs="宋体"/>
                <w:color w:val="000000" w:themeColor="text1"/>
                <w:kern w:val="0"/>
                <w:sz w:val="24"/>
              </w:rPr>
              <w:t xml:space="preserve"> </w:t>
            </w:r>
            <w:r>
              <w:rPr>
                <w:rFonts w:ascii="仿宋_GB2312" w:hAnsi="微软雅黑" w:eastAsia="仿宋_GB2312" w:cs="宋体"/>
                <w:color w:val="000000" w:themeColor="text1"/>
                <w:kern w:val="0"/>
                <w:sz w:val="24"/>
              </w:rPr>
              <w:t xml:space="preserve">   </w:t>
            </w:r>
            <w:r>
              <w:rPr>
                <w:rFonts w:hint="eastAsia" w:ascii="仿宋_GB2312" w:hAnsi="微软雅黑" w:eastAsia="仿宋_GB2312" w:cs="宋体"/>
                <w:b/>
                <w:color w:val="000000" w:themeColor="text1"/>
                <w:kern w:val="0"/>
                <w:sz w:val="24"/>
              </w:rPr>
              <w:t>第十七条第三项</w:t>
            </w:r>
            <w:r>
              <w:rPr>
                <w:rFonts w:hint="eastAsia" w:ascii="仿宋_GB2312" w:hAnsi="微软雅黑" w:eastAsia="仿宋_GB2312" w:cs="宋体"/>
                <w:color w:val="000000" w:themeColor="text1"/>
                <w:kern w:val="0"/>
                <w:sz w:val="24"/>
              </w:rPr>
              <w:t>　禁止下列行为：</w:t>
            </w:r>
          </w:p>
          <w:p>
            <w:pPr>
              <w:widowControl/>
              <w:numPr>
                <w:ilvl w:val="0"/>
                <w:numId w:val="8"/>
              </w:numPr>
              <w:snapToGrid w:val="0"/>
              <w:spacing w:line="360" w:lineRule="exact"/>
              <w:ind w:firstLine="480" w:firstLineChars="200"/>
              <w:jc w:val="left"/>
              <w:textAlignment w:val="center"/>
              <w:rPr>
                <w:rFonts w:ascii="仿宋_GB2312" w:hAnsi="微软雅黑" w:eastAsia="仿宋_GB2312" w:cs="宋体"/>
                <w:color w:val="000000" w:themeColor="text1"/>
                <w:kern w:val="0"/>
                <w:sz w:val="24"/>
              </w:rPr>
            </w:pPr>
            <w:r>
              <w:rPr>
                <w:rFonts w:hint="eastAsia" w:ascii="仿宋_GB2312" w:hAnsi="微软雅黑" w:eastAsia="仿宋_GB2312" w:cs="宋体"/>
                <w:color w:val="000000" w:themeColor="text1"/>
                <w:kern w:val="0"/>
                <w:sz w:val="24"/>
              </w:rPr>
              <w:t>擅自启动、拆卸、挪动公共供水设施。</w:t>
            </w:r>
            <w:r>
              <w:rPr>
                <w:rFonts w:hint="eastAsia" w:ascii="仿宋_GB2312" w:hAnsi="微软雅黑" w:eastAsia="仿宋_GB2312" w:cs="宋体"/>
                <w:color w:val="000000" w:themeColor="text1"/>
                <w:kern w:val="0"/>
                <w:sz w:val="24"/>
              </w:rPr>
              <w:br w:type="textWrapping"/>
            </w:r>
            <w:r>
              <w:rPr>
                <w:rFonts w:hint="eastAsia" w:ascii="仿宋_GB2312" w:hAnsi="微软雅黑" w:eastAsia="仿宋_GB2312" w:cs="宋体"/>
                <w:color w:val="000000" w:themeColor="text1"/>
                <w:kern w:val="0"/>
                <w:sz w:val="24"/>
              </w:rPr>
              <w:t xml:space="preserve"> </w:t>
            </w:r>
            <w:r>
              <w:rPr>
                <w:rFonts w:ascii="仿宋_GB2312" w:hAnsi="微软雅黑" w:eastAsia="仿宋_GB2312" w:cs="宋体"/>
                <w:color w:val="000000" w:themeColor="text1"/>
                <w:kern w:val="0"/>
                <w:sz w:val="24"/>
              </w:rPr>
              <w:t xml:space="preserve">  </w:t>
            </w:r>
            <w:r>
              <w:rPr>
                <w:rFonts w:ascii="仿宋_GB2312" w:hAnsi="微软雅黑" w:eastAsia="仿宋_GB2312" w:cs="宋体"/>
                <w:b/>
                <w:color w:val="000000" w:themeColor="text1"/>
                <w:kern w:val="0"/>
                <w:sz w:val="24"/>
              </w:rPr>
              <w:t xml:space="preserve"> </w:t>
            </w:r>
            <w:r>
              <w:rPr>
                <w:rFonts w:hint="eastAsia" w:ascii="仿宋_GB2312" w:hAnsi="微软雅黑" w:eastAsia="仿宋_GB2312" w:cs="宋体"/>
                <w:b/>
                <w:color w:val="000000" w:themeColor="text1"/>
                <w:kern w:val="0"/>
                <w:sz w:val="24"/>
              </w:rPr>
              <w:t>第十九条第四项</w:t>
            </w:r>
            <w:r>
              <w:rPr>
                <w:rFonts w:hint="eastAsia" w:ascii="仿宋_GB2312" w:hAnsi="微软雅黑" w:eastAsia="仿宋_GB2312" w:cs="宋体"/>
                <w:color w:val="000000" w:themeColor="text1"/>
                <w:kern w:val="0"/>
                <w:sz w:val="24"/>
              </w:rPr>
              <w:t>　对违反本办法的其他行为，由城市公共供水主管机关按下列规定给予处罚；</w:t>
            </w:r>
          </w:p>
          <w:p>
            <w:pPr>
              <w:widowControl/>
              <w:snapToGrid w:val="0"/>
              <w:spacing w:line="360" w:lineRule="exact"/>
              <w:ind w:firstLine="480" w:firstLineChars="200"/>
              <w:jc w:val="left"/>
              <w:textAlignment w:val="center"/>
              <w:rPr>
                <w:rFonts w:ascii="仿宋" w:hAnsi="仿宋" w:cs="仿宋"/>
                <w:color w:val="000000" w:themeColor="text1"/>
                <w:szCs w:val="21"/>
              </w:rPr>
            </w:pPr>
            <w:r>
              <w:rPr>
                <w:rFonts w:hint="eastAsia" w:ascii="仿宋_GB2312" w:hAnsi="微软雅黑" w:eastAsia="仿宋_GB2312" w:cs="宋体"/>
                <w:color w:val="000000" w:themeColor="text1"/>
                <w:kern w:val="0"/>
                <w:sz w:val="24"/>
              </w:rPr>
              <w:t>（四）擅自拆卸、挪动公共供水设施，或除紧急需要擅自动用消火栓的，责令恢复原状，处责任单位1000元以下罚款。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21" w:hRule="atLeast"/>
          <w:jc w:val="center"/>
        </w:trPr>
        <w:tc>
          <w:tcPr>
            <w:tcW w:w="2022" w:type="dxa"/>
            <w:vMerge w:val="continue"/>
            <w:tcBorders>
              <w:tl2br w:val="nil"/>
              <w:tr2bl w:val="nil"/>
            </w:tcBorders>
            <w:shd w:val="clear" w:color="auto" w:fill="auto"/>
            <w:vAlign w:val="center"/>
          </w:tcPr>
          <w:p>
            <w:pPr>
              <w:widowControl/>
              <w:snapToGrid w:val="0"/>
              <w:spacing w:line="360" w:lineRule="exact"/>
              <w:jc w:val="left"/>
              <w:textAlignment w:val="center"/>
              <w:rPr>
                <w:color w:val="000000" w:themeColor="text1"/>
              </w:rPr>
            </w:pPr>
          </w:p>
        </w:tc>
        <w:tc>
          <w:tcPr>
            <w:tcW w:w="1843" w:type="dxa"/>
            <w:vMerge w:val="continue"/>
            <w:tcBorders>
              <w:tl2br w:val="nil"/>
              <w:tr2bl w:val="nil"/>
            </w:tcBorders>
            <w:shd w:val="clear" w:color="auto" w:fill="auto"/>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p>
        </w:tc>
        <w:tc>
          <w:tcPr>
            <w:tcW w:w="1842" w:type="dxa"/>
            <w:tcBorders>
              <w:tl2br w:val="nil"/>
              <w:tr2bl w:val="nil"/>
            </w:tcBorders>
            <w:shd w:val="clear" w:color="auto" w:fill="auto"/>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《城市供水条例》</w:t>
            </w:r>
          </w:p>
        </w:tc>
        <w:tc>
          <w:tcPr>
            <w:tcW w:w="8505" w:type="dxa"/>
            <w:tcBorders>
              <w:tl2br w:val="nil"/>
              <w:tr2bl w:val="nil"/>
            </w:tcBorders>
            <w:shd w:val="clear" w:color="auto" w:fill="auto"/>
            <w:vAlign w:val="center"/>
          </w:tcPr>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第三十条</w:t>
            </w:r>
            <w:r>
              <w:rPr>
                <w:rFonts w:hint="eastAsia" w:ascii="仿宋_GB2312" w:hAnsi="仿宋" w:eastAsia="仿宋_GB2312" w:cs="仿宋"/>
                <w:color w:val="000000" w:themeColor="text1"/>
                <w:sz w:val="24"/>
              </w:rPr>
              <w:t>因工程建设确需改装、拆除或者迁移城市公共供水设施的，建设单位应当报经县级以上人民政府城市规划行政主管部门和城市供水行政主管部门批准，并采取相应的补救措施。</w:t>
            </w:r>
          </w:p>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第三十五条第六项</w:t>
            </w:r>
            <w:r>
              <w:rPr>
                <w:rFonts w:hint="eastAsia" w:ascii="仿宋_GB2312" w:hAnsi="仿宋" w:eastAsia="仿宋_GB2312" w:cs="仿宋"/>
                <w:color w:val="000000" w:themeColor="text1"/>
                <w:sz w:val="24"/>
              </w:rPr>
              <w:t>违反本条例规定，有下列行为之一的，由城市供水行政主管部门或者其授权的单位责令限期改正，可以处以罚款：</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（六）擅自拆除、改装或者迁移城市公共供水设施的。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6" w:hRule="atLeast"/>
          <w:jc w:val="center"/>
        </w:trPr>
        <w:tc>
          <w:tcPr>
            <w:tcW w:w="2022" w:type="dxa"/>
            <w:vMerge w:val="continue"/>
            <w:tcBorders>
              <w:tl2br w:val="nil"/>
              <w:tr2bl w:val="nil"/>
            </w:tcBorders>
            <w:shd w:val="clear" w:color="auto" w:fill="auto"/>
            <w:vAlign w:val="center"/>
          </w:tcPr>
          <w:p>
            <w:pPr>
              <w:widowControl/>
              <w:snapToGrid w:val="0"/>
              <w:spacing w:line="360" w:lineRule="exact"/>
              <w:jc w:val="center"/>
              <w:textAlignment w:val="bottom"/>
              <w:rPr>
                <w:rFonts w:ascii="宋体" w:hAnsi="宋体" w:eastAsia="宋体" w:cs="宋体"/>
                <w:color w:val="000000" w:themeColor="text1"/>
                <w:szCs w:val="21"/>
              </w:rPr>
            </w:pPr>
          </w:p>
        </w:tc>
        <w:tc>
          <w:tcPr>
            <w:tcW w:w="1843" w:type="dxa"/>
            <w:tcBorders>
              <w:tl2br w:val="nil"/>
              <w:tr2bl w:val="nil"/>
            </w:tcBorders>
            <w:shd w:val="clear" w:color="auto" w:fill="auto"/>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（八）设备管理</w:t>
            </w:r>
          </w:p>
        </w:tc>
        <w:tc>
          <w:tcPr>
            <w:tcW w:w="1842" w:type="dxa"/>
            <w:tcBorders>
              <w:tl2br w:val="nil"/>
              <w:tr2bl w:val="nil"/>
            </w:tcBorders>
            <w:shd w:val="clear" w:color="auto" w:fill="auto"/>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《北京市城市公共供水管理办法》</w:t>
            </w:r>
          </w:p>
        </w:tc>
        <w:tc>
          <w:tcPr>
            <w:tcW w:w="8505" w:type="dxa"/>
            <w:tcBorders>
              <w:tl2br w:val="nil"/>
              <w:tr2bl w:val="nil"/>
            </w:tcBorders>
            <w:shd w:val="clear" w:color="auto" w:fill="auto"/>
            <w:vAlign w:val="center"/>
          </w:tcPr>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第十五条第一款</w:t>
            </w:r>
            <w:r>
              <w:rPr>
                <w:rFonts w:hint="eastAsia" w:ascii="仿宋_GB2312" w:hAnsi="仿宋" w:eastAsia="仿宋_GB2312" w:cs="仿宋"/>
                <w:color w:val="000000" w:themeColor="text1"/>
                <w:sz w:val="24"/>
              </w:rPr>
              <w:t>公用消火栓由供水企业负责维修管理，公安机关消防机构负责监督检查。除发生火灾时，任何单位和个人不得动用。</w:t>
            </w:r>
            <w:r>
              <w:rPr>
                <w:rFonts w:hint="eastAsia" w:ascii="仿宋_GB2312" w:hAnsi="仿宋" w:eastAsia="仿宋_GB2312" w:cs="仿宋"/>
                <w:color w:val="000000" w:themeColor="text1"/>
                <w:sz w:val="24"/>
              </w:rPr>
              <w:br w:type="textWrapping"/>
            </w:r>
            <w:r>
              <w:rPr>
                <w:rFonts w:hint="eastAsia" w:ascii="仿宋_GB2312" w:hAnsi="仿宋" w:eastAsia="仿宋_GB2312" w:cs="仿宋"/>
                <w:b/>
                <w:bCs/>
                <w:color w:val="000000" w:themeColor="text1"/>
                <w:sz w:val="24"/>
              </w:rPr>
              <w:t xml:space="preserve"> </w:t>
            </w:r>
            <w:r>
              <w:rPr>
                <w:rFonts w:ascii="仿宋_GB2312" w:hAnsi="仿宋" w:eastAsia="仿宋_GB2312" w:cs="仿宋"/>
                <w:b/>
                <w:bCs/>
                <w:color w:val="000000" w:themeColor="text1"/>
                <w:sz w:val="24"/>
              </w:rPr>
              <w:t xml:space="preserve">   </w:t>
            </w:r>
            <w:r>
              <w:rPr>
                <w:rFonts w:hint="eastAsia" w:ascii="仿宋_GB2312" w:hAnsi="仿宋" w:eastAsia="仿宋_GB2312" w:cs="仿宋"/>
                <w:b/>
                <w:bCs/>
                <w:color w:val="000000" w:themeColor="text1"/>
                <w:sz w:val="24"/>
              </w:rPr>
              <w:t>第十七条第三项</w:t>
            </w:r>
            <w:r>
              <w:rPr>
                <w:rFonts w:hint="eastAsia" w:ascii="仿宋_GB2312" w:hAnsi="仿宋" w:eastAsia="仿宋_GB2312" w:cs="仿宋"/>
                <w:color w:val="000000" w:themeColor="text1"/>
                <w:sz w:val="24"/>
              </w:rPr>
              <w:t>禁止下列行为：</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（三）擅自启动、拆卸、挪动公共供水设施。</w:t>
            </w:r>
          </w:p>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第十九条第四项</w:t>
            </w:r>
            <w:r>
              <w:rPr>
                <w:rFonts w:hint="eastAsia" w:ascii="仿宋_GB2312" w:hAnsi="仿宋" w:eastAsia="仿宋_GB2312" w:cs="仿宋"/>
                <w:color w:val="000000" w:themeColor="text1"/>
                <w:sz w:val="24"/>
              </w:rPr>
              <w:t>对违反本办法的其他行为，由城市公共供水主管机关按下列规定给予处罚：</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（四）擅自拆卸、挪动公共供水设施，或除紧急需要擅自动用消火栓的，责令恢复原状，处责任单位1000元以下罚款。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6" w:hRule="atLeast"/>
          <w:jc w:val="center"/>
        </w:trPr>
        <w:tc>
          <w:tcPr>
            <w:tcW w:w="2022" w:type="dxa"/>
            <w:vMerge w:val="restart"/>
            <w:tcBorders>
              <w:tl2br w:val="nil"/>
              <w:tr2bl w:val="nil"/>
            </w:tcBorders>
            <w:shd w:val="clear" w:color="auto" w:fill="auto"/>
            <w:vAlign w:val="center"/>
          </w:tcPr>
          <w:p>
            <w:pPr>
              <w:widowControl/>
              <w:snapToGrid w:val="0"/>
              <w:spacing w:line="360" w:lineRule="exact"/>
              <w:jc w:val="center"/>
              <w:textAlignment w:val="center"/>
              <w:rPr>
                <w:rFonts w:ascii="宋体" w:hAnsi="宋体" w:eastAsia="宋体" w:cs="宋体"/>
                <w:color w:val="000000" w:themeColor="text1"/>
                <w:szCs w:val="21"/>
              </w:rPr>
            </w:pPr>
            <w:r>
              <w:rPr>
                <w:rFonts w:hint="eastAsia" w:ascii="仿宋_GB2312" w:hAnsi="仿宋" w:eastAsia="仿宋_GB2312" w:cs="仿宋"/>
                <w:color w:val="000000" w:themeColor="text1"/>
                <w:sz w:val="24"/>
                <w:szCs w:val="21"/>
              </w:rPr>
              <w:t>二、供热</w:t>
            </w:r>
          </w:p>
        </w:tc>
        <w:tc>
          <w:tcPr>
            <w:tcW w:w="1843" w:type="dxa"/>
            <w:tcBorders>
              <w:tl2br w:val="nil"/>
              <w:tr2bl w:val="nil"/>
            </w:tcBorders>
            <w:shd w:val="clear" w:color="auto" w:fill="auto"/>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（一）影响供热设施安全</w:t>
            </w:r>
          </w:p>
        </w:tc>
        <w:tc>
          <w:tcPr>
            <w:tcW w:w="1842" w:type="dxa"/>
            <w:tcBorders>
              <w:tl2br w:val="nil"/>
              <w:tr2bl w:val="nil"/>
            </w:tcBorders>
            <w:shd w:val="clear" w:color="auto" w:fill="auto"/>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《北京市供热采暖管理办法》</w:t>
            </w:r>
          </w:p>
        </w:tc>
        <w:tc>
          <w:tcPr>
            <w:tcW w:w="8505" w:type="dxa"/>
            <w:tcBorders>
              <w:tl2br w:val="nil"/>
              <w:tr2bl w:val="nil"/>
            </w:tcBorders>
            <w:shd w:val="clear" w:color="auto" w:fill="auto"/>
            <w:vAlign w:val="center"/>
          </w:tcPr>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第二十四条</w:t>
            </w:r>
            <w:r>
              <w:rPr>
                <w:rFonts w:hint="eastAsia" w:ascii="仿宋_GB2312" w:hAnsi="仿宋" w:eastAsia="仿宋_GB2312" w:cs="仿宋"/>
                <w:color w:val="000000" w:themeColor="text1"/>
                <w:sz w:val="24"/>
              </w:rPr>
              <w:t>　禁止实施下列危害供热安全的行为：</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（一）在规定的地下热力管道安全间距范围内修筑建筑物、构筑物；</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（二）在规定的地下热力管道安全间距范围内堆放物品，或者进行挖掘、取土、钻探、打桩、埋杆、栽植深根性植物和爆破作业；</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（三）向供热管沟内排放有毒、有害、易燃、易爆、易堵塞物品及雨水、污水、工业废液、垃圾；</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（四）擅自接入供热管网；</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（五）擅自在室内采暖系统上安装危害系统安全的设备；</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（六）擅自排放或者取用管道内热水或蒸汽；</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（七）擅自拆除、毁损警示标志；</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（八）擅自操作、拆除共用供热阀门，损坏共用阀门的铅封，改动或者损坏供热计量仪表及其附件等；</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（九）其他危害、损坏供热设施的行为。</w:t>
            </w:r>
          </w:p>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第三十五条第二款</w:t>
            </w:r>
            <w:r>
              <w:rPr>
                <w:rFonts w:hint="eastAsia" w:ascii="仿宋_GB2312" w:hAnsi="仿宋" w:eastAsia="仿宋_GB2312" w:cs="仿宋"/>
                <w:color w:val="000000" w:themeColor="text1"/>
                <w:sz w:val="24"/>
              </w:rPr>
              <w:t>　违反本办法第二十四条第（二）、（三）、（四）、（五）、（六）、（九）项规定的，由城市管理综合行政执法机关责令改正，严重影响供热设施安全的，可以处5000元以上3万元以下罚款。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6" w:hRule="atLeast"/>
          <w:jc w:val="center"/>
        </w:trPr>
        <w:tc>
          <w:tcPr>
            <w:tcW w:w="2022" w:type="dxa"/>
            <w:vMerge w:val="continue"/>
            <w:tcBorders>
              <w:tl2br w:val="nil"/>
              <w:tr2bl w:val="nil"/>
            </w:tcBorders>
            <w:shd w:val="clear" w:color="auto" w:fill="auto"/>
            <w:vAlign w:val="center"/>
          </w:tcPr>
          <w:p>
            <w:pPr>
              <w:widowControl/>
              <w:snapToGrid w:val="0"/>
              <w:spacing w:line="360" w:lineRule="exact"/>
              <w:jc w:val="center"/>
              <w:textAlignment w:val="bottom"/>
              <w:rPr>
                <w:rFonts w:ascii="宋体" w:hAnsi="宋体" w:eastAsia="宋体" w:cs="宋体"/>
                <w:color w:val="000000" w:themeColor="text1"/>
                <w:szCs w:val="21"/>
              </w:rPr>
            </w:pPr>
          </w:p>
        </w:tc>
        <w:tc>
          <w:tcPr>
            <w:tcW w:w="1843" w:type="dxa"/>
            <w:tcBorders>
              <w:tl2br w:val="nil"/>
              <w:tr2bl w:val="nil"/>
            </w:tcBorders>
            <w:shd w:val="clear" w:color="auto" w:fill="auto"/>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（二）损坏装置系统</w:t>
            </w:r>
          </w:p>
        </w:tc>
        <w:tc>
          <w:tcPr>
            <w:tcW w:w="1842" w:type="dxa"/>
            <w:tcBorders>
              <w:tl2br w:val="nil"/>
              <w:tr2bl w:val="nil"/>
            </w:tcBorders>
            <w:shd w:val="clear" w:color="auto" w:fill="auto"/>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《北京市民用建筑节能管理办法》</w:t>
            </w:r>
          </w:p>
        </w:tc>
        <w:tc>
          <w:tcPr>
            <w:tcW w:w="8505" w:type="dxa"/>
            <w:tcBorders>
              <w:tl2br w:val="nil"/>
              <w:tr2bl w:val="nil"/>
            </w:tcBorders>
            <w:shd w:val="clear" w:color="auto" w:fill="auto"/>
            <w:vAlign w:val="center"/>
          </w:tcPr>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第三十三条</w:t>
            </w:r>
            <w:r>
              <w:rPr>
                <w:rFonts w:hint="eastAsia" w:ascii="仿宋_GB2312" w:hAnsi="仿宋" w:eastAsia="仿宋_GB2312" w:cs="仿宋"/>
                <w:color w:val="000000" w:themeColor="text1"/>
                <w:sz w:val="24"/>
              </w:rPr>
              <w:t>　任何人不得损坏、擅自拆改建筑物围护结构保温层、供热计量装置与调控系统、能耗计量设施等。</w:t>
            </w:r>
          </w:p>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第四十二条</w:t>
            </w:r>
            <w:r>
              <w:rPr>
                <w:rFonts w:hint="eastAsia" w:ascii="仿宋_GB2312" w:hAnsi="仿宋" w:eastAsia="仿宋_GB2312" w:cs="仿宋"/>
                <w:color w:val="000000" w:themeColor="text1"/>
                <w:sz w:val="24"/>
              </w:rPr>
              <w:t>　违反本办法第三十三条规定，损坏建筑物围护结构保温层的，由住房城乡建设行政主管部门责令改正，情节严重的，可处1000元以上1万元以下罚款。损坏供热计量装置与调控系统的，由城市管理综合执法部门责令改正，可处500元以上1000元以下罚款；情节严重，影响正常供热的，可处1000元以上1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6" w:hRule="atLeast"/>
          <w:jc w:val="center"/>
        </w:trPr>
        <w:tc>
          <w:tcPr>
            <w:tcW w:w="2022" w:type="dxa"/>
            <w:vMerge w:val="continue"/>
            <w:tcBorders>
              <w:tl2br w:val="nil"/>
              <w:tr2bl w:val="nil"/>
            </w:tcBorders>
            <w:shd w:val="clear" w:color="auto" w:fill="auto"/>
            <w:vAlign w:val="center"/>
          </w:tcPr>
          <w:p>
            <w:pPr>
              <w:widowControl/>
              <w:snapToGrid w:val="0"/>
              <w:spacing w:line="360" w:lineRule="exact"/>
              <w:jc w:val="center"/>
              <w:textAlignment w:val="bottom"/>
              <w:rPr>
                <w:rFonts w:ascii="宋体" w:hAnsi="宋体" w:eastAsia="宋体" w:cs="宋体"/>
                <w:color w:val="000000" w:themeColor="text1"/>
                <w:szCs w:val="21"/>
              </w:rPr>
            </w:pPr>
          </w:p>
        </w:tc>
        <w:tc>
          <w:tcPr>
            <w:tcW w:w="1843" w:type="dxa"/>
            <w:tcBorders>
              <w:tl2br w:val="nil"/>
              <w:tr2bl w:val="nil"/>
            </w:tcBorders>
            <w:shd w:val="clear" w:color="auto" w:fill="FFFFFF"/>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（三）禁止在供热设施及管线周围堆放杂物</w:t>
            </w:r>
          </w:p>
        </w:tc>
        <w:tc>
          <w:tcPr>
            <w:tcW w:w="1842" w:type="dxa"/>
            <w:tcBorders>
              <w:tl2br w:val="nil"/>
              <w:tr2bl w:val="nil"/>
            </w:tcBorders>
            <w:shd w:val="clear" w:color="auto" w:fill="auto"/>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《北京市供热采暖管理办法》</w:t>
            </w:r>
          </w:p>
        </w:tc>
        <w:tc>
          <w:tcPr>
            <w:tcW w:w="8505" w:type="dxa"/>
            <w:tcBorders>
              <w:tl2br w:val="nil"/>
              <w:tr2bl w:val="nil"/>
            </w:tcBorders>
            <w:shd w:val="clear" w:color="auto" w:fill="auto"/>
            <w:vAlign w:val="center"/>
          </w:tcPr>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第二十四条第一款第二项</w:t>
            </w:r>
            <w:r>
              <w:rPr>
                <w:rFonts w:hint="eastAsia" w:ascii="仿宋_GB2312" w:hAnsi="仿宋" w:eastAsia="仿宋_GB2312" w:cs="仿宋"/>
                <w:color w:val="000000" w:themeColor="text1"/>
                <w:sz w:val="24"/>
              </w:rPr>
              <w:t>　禁止实施下列危害供热安全的行为：</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（二）在规定的地下热力管道安全间距范围内堆放物品，或者进行挖掘、取土、钻探、打桩、埋杆、栽植深根性植物和爆破作业</w:t>
            </w:r>
          </w:p>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第三十五条第二款</w:t>
            </w:r>
            <w:r>
              <w:rPr>
                <w:rFonts w:hint="eastAsia" w:ascii="仿宋_GB2312" w:hAnsi="仿宋" w:eastAsia="仿宋_GB2312" w:cs="仿宋"/>
                <w:color w:val="000000" w:themeColor="text1"/>
                <w:sz w:val="24"/>
              </w:rPr>
              <w:t>　违反本办法第二十四条第（二）、（三）、（四）、（五）、（六）、（九）项规定的，由城市管理综合行政执法机关责令改正，严重影响供热设施安全的，可以处5000元以上3万元以下罚款。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2" w:hRule="atLeast"/>
          <w:jc w:val="center"/>
        </w:trPr>
        <w:tc>
          <w:tcPr>
            <w:tcW w:w="2022" w:type="dxa"/>
            <w:vMerge w:val="continue"/>
            <w:tcBorders>
              <w:tl2br w:val="nil"/>
              <w:tr2bl w:val="nil"/>
            </w:tcBorders>
            <w:shd w:val="clear" w:color="auto" w:fill="auto"/>
            <w:vAlign w:val="center"/>
          </w:tcPr>
          <w:p>
            <w:pPr>
              <w:widowControl/>
              <w:snapToGrid w:val="0"/>
              <w:spacing w:line="360" w:lineRule="exact"/>
              <w:jc w:val="center"/>
              <w:textAlignment w:val="bottom"/>
              <w:rPr>
                <w:rFonts w:ascii="宋体" w:hAnsi="宋体" w:eastAsia="宋体" w:cs="宋体"/>
                <w:color w:val="000000" w:themeColor="text1"/>
                <w:szCs w:val="21"/>
              </w:rPr>
            </w:pPr>
          </w:p>
        </w:tc>
        <w:tc>
          <w:tcPr>
            <w:tcW w:w="1843" w:type="dxa"/>
            <w:tcBorders>
              <w:tl2br w:val="nil"/>
              <w:tr2bl w:val="nil"/>
            </w:tcBorders>
            <w:shd w:val="clear" w:color="auto" w:fill="FFFFFF"/>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（四）严禁私自并网</w:t>
            </w:r>
          </w:p>
        </w:tc>
        <w:tc>
          <w:tcPr>
            <w:tcW w:w="1842" w:type="dxa"/>
            <w:tcBorders>
              <w:tl2br w:val="nil"/>
              <w:tr2bl w:val="nil"/>
            </w:tcBorders>
            <w:shd w:val="clear" w:color="auto" w:fill="auto"/>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《北京市供热采暖管理办法》</w:t>
            </w:r>
          </w:p>
        </w:tc>
        <w:tc>
          <w:tcPr>
            <w:tcW w:w="8505" w:type="dxa"/>
            <w:tcBorders>
              <w:tl2br w:val="nil"/>
              <w:tr2bl w:val="nil"/>
            </w:tcBorders>
            <w:shd w:val="clear" w:color="auto" w:fill="auto"/>
            <w:vAlign w:val="center"/>
          </w:tcPr>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第二十四条第一款第四项</w:t>
            </w:r>
            <w:r>
              <w:rPr>
                <w:rFonts w:hint="eastAsia" w:ascii="仿宋_GB2312" w:hAnsi="仿宋" w:eastAsia="仿宋_GB2312" w:cs="仿宋"/>
                <w:color w:val="000000" w:themeColor="text1"/>
                <w:sz w:val="24"/>
              </w:rPr>
              <w:t>　禁止实施下列危害供热安全的行为：</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（四）擅自接入供热管网</w:t>
            </w:r>
          </w:p>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第三十五条第二款</w:t>
            </w:r>
            <w:r>
              <w:rPr>
                <w:rFonts w:hint="eastAsia" w:ascii="仿宋_GB2312" w:hAnsi="仿宋" w:eastAsia="仿宋_GB2312" w:cs="仿宋"/>
                <w:color w:val="000000" w:themeColor="text1"/>
                <w:sz w:val="24"/>
              </w:rPr>
              <w:t>　违反本办法第二十四条第（二）、（三）、（四）、（五）、（六）、（九）项规定的，由城市管理综合行政执法机关责令改正，严重影响供热设施安全的，可以处5000元以上3万元以下罚款。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6" w:hRule="atLeast"/>
          <w:jc w:val="center"/>
        </w:trPr>
        <w:tc>
          <w:tcPr>
            <w:tcW w:w="2022" w:type="dxa"/>
            <w:vMerge w:val="continue"/>
            <w:tcBorders>
              <w:tl2br w:val="nil"/>
              <w:tr2bl w:val="nil"/>
            </w:tcBorders>
            <w:shd w:val="clear" w:color="auto" w:fill="auto"/>
            <w:vAlign w:val="center"/>
          </w:tcPr>
          <w:p>
            <w:pPr>
              <w:widowControl/>
              <w:snapToGrid w:val="0"/>
              <w:spacing w:line="360" w:lineRule="exact"/>
              <w:jc w:val="center"/>
              <w:textAlignment w:val="bottom"/>
              <w:rPr>
                <w:rFonts w:ascii="宋体" w:hAnsi="宋体" w:eastAsia="宋体" w:cs="宋体"/>
                <w:color w:val="000000" w:themeColor="text1"/>
                <w:szCs w:val="21"/>
              </w:rPr>
            </w:pPr>
          </w:p>
        </w:tc>
        <w:tc>
          <w:tcPr>
            <w:tcW w:w="1843" w:type="dxa"/>
            <w:tcBorders>
              <w:tl2br w:val="nil"/>
              <w:tr2bl w:val="nil"/>
            </w:tcBorders>
            <w:shd w:val="clear" w:color="auto" w:fill="FFFFFF"/>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（五）禁止排放管线</w:t>
            </w:r>
          </w:p>
        </w:tc>
        <w:tc>
          <w:tcPr>
            <w:tcW w:w="1842" w:type="dxa"/>
            <w:tcBorders>
              <w:tl2br w:val="nil"/>
              <w:tr2bl w:val="nil"/>
            </w:tcBorders>
            <w:shd w:val="clear" w:color="auto" w:fill="auto"/>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《北京市供热采暖管理办法》</w:t>
            </w:r>
          </w:p>
        </w:tc>
        <w:tc>
          <w:tcPr>
            <w:tcW w:w="8505" w:type="dxa"/>
            <w:tcBorders>
              <w:tl2br w:val="nil"/>
              <w:tr2bl w:val="nil"/>
            </w:tcBorders>
            <w:shd w:val="clear" w:color="auto" w:fill="auto"/>
            <w:vAlign w:val="center"/>
          </w:tcPr>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第二十四条第一款第六项</w:t>
            </w:r>
            <w:r>
              <w:rPr>
                <w:rFonts w:hint="eastAsia" w:ascii="仿宋_GB2312" w:hAnsi="仿宋" w:eastAsia="仿宋_GB2312" w:cs="仿宋"/>
                <w:color w:val="000000" w:themeColor="text1"/>
                <w:sz w:val="24"/>
              </w:rPr>
              <w:t>　禁止实施下列危害供热安全的行为：</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（六）擅自排放或者取用管道内热水或蒸汽</w:t>
            </w:r>
          </w:p>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第三十五条第二款</w:t>
            </w:r>
            <w:r>
              <w:rPr>
                <w:rFonts w:hint="eastAsia" w:ascii="仿宋_GB2312" w:hAnsi="仿宋" w:eastAsia="仿宋_GB2312" w:cs="仿宋"/>
                <w:color w:val="000000" w:themeColor="text1"/>
                <w:sz w:val="24"/>
              </w:rPr>
              <w:t>　违反本办法第二十四条第（二）、（三）、（四）、（五）、（六）、（九）项规定的，由城市管理综合行政执法机关责令改正，严重影响供热设施安全的，可以处5000元以上3万元以下罚款。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6" w:hRule="atLeast"/>
          <w:jc w:val="center"/>
        </w:trPr>
        <w:tc>
          <w:tcPr>
            <w:tcW w:w="2022" w:type="dxa"/>
            <w:vMerge w:val="continue"/>
            <w:tcBorders>
              <w:tl2br w:val="nil"/>
              <w:tr2bl w:val="nil"/>
            </w:tcBorders>
            <w:shd w:val="clear" w:color="auto" w:fill="auto"/>
            <w:vAlign w:val="center"/>
          </w:tcPr>
          <w:p>
            <w:pPr>
              <w:widowControl/>
              <w:snapToGrid w:val="0"/>
              <w:spacing w:line="360" w:lineRule="exact"/>
              <w:jc w:val="center"/>
              <w:textAlignment w:val="bottom"/>
              <w:rPr>
                <w:rFonts w:ascii="宋体" w:hAnsi="宋体" w:eastAsia="宋体" w:cs="宋体"/>
                <w:color w:val="000000" w:themeColor="text1"/>
                <w:szCs w:val="21"/>
              </w:rPr>
            </w:pPr>
          </w:p>
        </w:tc>
        <w:tc>
          <w:tcPr>
            <w:tcW w:w="1843" w:type="dxa"/>
            <w:tcBorders>
              <w:tl2br w:val="nil"/>
              <w:tr2bl w:val="nil"/>
            </w:tcBorders>
            <w:shd w:val="clear" w:color="auto" w:fill="FFFFFF"/>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（六）破坏燃气警示标志</w:t>
            </w:r>
          </w:p>
        </w:tc>
        <w:tc>
          <w:tcPr>
            <w:tcW w:w="1842" w:type="dxa"/>
            <w:tcBorders>
              <w:tl2br w:val="nil"/>
              <w:tr2bl w:val="nil"/>
            </w:tcBorders>
            <w:shd w:val="clear" w:color="auto" w:fill="auto"/>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《城镇燃气管理条例》</w:t>
            </w:r>
          </w:p>
        </w:tc>
        <w:tc>
          <w:tcPr>
            <w:tcW w:w="8505" w:type="dxa"/>
            <w:tcBorders>
              <w:tl2br w:val="nil"/>
              <w:tr2bl w:val="nil"/>
            </w:tcBorders>
            <w:shd w:val="clear" w:color="auto" w:fill="auto"/>
            <w:vAlign w:val="center"/>
          </w:tcPr>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第三十六条</w:t>
            </w:r>
            <w:r>
              <w:rPr>
                <w:rFonts w:hint="eastAsia" w:ascii="仿宋_GB2312" w:hAnsi="仿宋" w:eastAsia="仿宋_GB2312" w:cs="仿宋"/>
                <w:color w:val="000000" w:themeColor="text1"/>
                <w:sz w:val="24"/>
              </w:rPr>
              <w:t>　任何单位和个人不得侵占、毁损、擅自拆除或者移动燃气设施，不得毁损、覆盖、涂改、擅自拆除或者移动燃气设施安全警示标志。</w:t>
            </w:r>
            <w:r>
              <w:rPr>
                <w:rFonts w:hint="eastAsia" w:ascii="仿宋_GB2312" w:hAnsi="仿宋" w:eastAsia="仿宋_GB2312" w:cs="仿宋"/>
                <w:color w:val="000000" w:themeColor="text1"/>
                <w:sz w:val="24"/>
              </w:rPr>
              <w:br w:type="textWrapping"/>
            </w:r>
            <w:r>
              <w:rPr>
                <w:rFonts w:hint="eastAsia" w:ascii="仿宋_GB2312" w:hAnsi="仿宋" w:eastAsia="仿宋_GB2312" w:cs="仿宋"/>
                <w:color w:val="000000" w:themeColor="text1"/>
                <w:sz w:val="24"/>
              </w:rPr>
              <w:t>　　任何单位和个人发现有可能危及燃气设施和安全警示标志的行为，有权予以劝阻、制止；经劝阻、制止无效的，应当立即告知燃气经营者或者向燃气管理部门、安全生产监督管理部门和公安机关报告。</w:t>
            </w:r>
          </w:p>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第五十一条</w:t>
            </w:r>
            <w:r>
              <w:rPr>
                <w:rFonts w:hint="eastAsia" w:ascii="仿宋_GB2312" w:hAnsi="仿宋" w:eastAsia="仿宋_GB2312" w:cs="仿宋"/>
                <w:color w:val="000000" w:themeColor="text1"/>
                <w:sz w:val="24"/>
              </w:rPr>
              <w:t>　违反本条例规定，侵占、毁损、擅自拆除、移动燃气设施或者擅自改动市政燃气设施的，由燃气管理部门责令限期改正，恢复原状或者采取其他补救措施，对单位处5万元以上10万元以下罚款，对个人处5000元以上5万元以下罚款；造成损失的，依法承担赔偿责任；构成犯罪的，依法追究刑事责任。违反本条例规定，毁损、覆盖、涂改、擅自拆除或者移动燃气设施安全警示标志的，由燃气管理部门责令限期改正，恢复原状，可以处5000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4" w:hRule="atLeast"/>
          <w:jc w:val="center"/>
        </w:trPr>
        <w:tc>
          <w:tcPr>
            <w:tcW w:w="2022" w:type="dxa"/>
            <w:vMerge w:val="continue"/>
            <w:tcBorders>
              <w:tl2br w:val="nil"/>
              <w:tr2bl w:val="nil"/>
            </w:tcBorders>
            <w:shd w:val="clear" w:color="auto" w:fill="auto"/>
            <w:vAlign w:val="center"/>
          </w:tcPr>
          <w:p>
            <w:pPr>
              <w:widowControl/>
              <w:snapToGrid w:val="0"/>
              <w:spacing w:line="360" w:lineRule="exact"/>
              <w:jc w:val="center"/>
              <w:textAlignment w:val="bottom"/>
              <w:rPr>
                <w:rFonts w:ascii="宋体" w:hAnsi="宋体" w:eastAsia="宋体" w:cs="宋体"/>
                <w:color w:val="000000" w:themeColor="text1"/>
                <w:szCs w:val="21"/>
              </w:rPr>
            </w:pPr>
          </w:p>
        </w:tc>
        <w:tc>
          <w:tcPr>
            <w:tcW w:w="1843" w:type="dxa"/>
            <w:tcBorders>
              <w:tl2br w:val="nil"/>
              <w:tr2bl w:val="nil"/>
            </w:tcBorders>
            <w:shd w:val="clear" w:color="auto" w:fill="FFFFFF"/>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（七）损害供热设施</w:t>
            </w:r>
          </w:p>
        </w:tc>
        <w:tc>
          <w:tcPr>
            <w:tcW w:w="1842" w:type="dxa"/>
            <w:tcBorders>
              <w:tl2br w:val="nil"/>
              <w:tr2bl w:val="nil"/>
            </w:tcBorders>
            <w:shd w:val="clear" w:color="auto" w:fill="auto"/>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《北京市供热采暖管理办法》</w:t>
            </w:r>
          </w:p>
        </w:tc>
        <w:tc>
          <w:tcPr>
            <w:tcW w:w="8505" w:type="dxa"/>
            <w:tcBorders>
              <w:tl2br w:val="nil"/>
              <w:tr2bl w:val="nil"/>
            </w:tcBorders>
            <w:shd w:val="clear" w:color="auto" w:fill="auto"/>
            <w:vAlign w:val="center"/>
          </w:tcPr>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第二十四条第一款第九项</w:t>
            </w:r>
            <w:r>
              <w:rPr>
                <w:rFonts w:hint="eastAsia" w:ascii="仿宋_GB2312" w:hAnsi="仿宋" w:eastAsia="仿宋_GB2312" w:cs="仿宋"/>
                <w:color w:val="000000" w:themeColor="text1"/>
                <w:sz w:val="24"/>
              </w:rPr>
              <w:t>　禁止实施下列危害供热安全的行为：</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（九）其他危害、损坏供热设施的行为。</w:t>
            </w:r>
          </w:p>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第三十五条第二款</w:t>
            </w:r>
            <w:r>
              <w:rPr>
                <w:rFonts w:hint="eastAsia" w:ascii="仿宋_GB2312" w:hAnsi="仿宋" w:eastAsia="仿宋_GB2312" w:cs="仿宋"/>
                <w:color w:val="000000" w:themeColor="text1"/>
                <w:sz w:val="24"/>
              </w:rPr>
              <w:t>　违反本办法第二十四条第（二）、（三）、（四）、（五）、（六）、（九）项规定的，由城市管理综合行政执法机关责令改正，严重影响供热设施安全的，可以处5000元以上3万元以下罚款。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6" w:hRule="atLeast"/>
          <w:jc w:val="center"/>
        </w:trPr>
        <w:tc>
          <w:tcPr>
            <w:tcW w:w="2022" w:type="dxa"/>
            <w:vMerge w:val="continue"/>
            <w:tcBorders>
              <w:tl2br w:val="nil"/>
              <w:tr2bl w:val="nil"/>
            </w:tcBorders>
            <w:shd w:val="clear" w:color="auto" w:fill="auto"/>
            <w:vAlign w:val="center"/>
          </w:tcPr>
          <w:p>
            <w:pPr>
              <w:widowControl/>
              <w:snapToGrid w:val="0"/>
              <w:spacing w:line="360" w:lineRule="exact"/>
              <w:jc w:val="center"/>
              <w:textAlignment w:val="bottom"/>
              <w:rPr>
                <w:rFonts w:ascii="宋体" w:hAnsi="宋体" w:eastAsia="宋体" w:cs="宋体"/>
                <w:color w:val="000000" w:themeColor="text1"/>
                <w:szCs w:val="21"/>
              </w:rPr>
            </w:pPr>
          </w:p>
        </w:tc>
        <w:tc>
          <w:tcPr>
            <w:tcW w:w="1843" w:type="dxa"/>
            <w:tcBorders>
              <w:tl2br w:val="nil"/>
              <w:tr2bl w:val="nil"/>
            </w:tcBorders>
            <w:shd w:val="clear" w:color="auto" w:fill="FFFFFF"/>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（八）禁止向供热管沟内排放、取用管线热水</w:t>
            </w:r>
          </w:p>
        </w:tc>
        <w:tc>
          <w:tcPr>
            <w:tcW w:w="1842" w:type="dxa"/>
            <w:tcBorders>
              <w:tl2br w:val="nil"/>
              <w:tr2bl w:val="nil"/>
            </w:tcBorders>
            <w:shd w:val="clear" w:color="auto" w:fill="auto"/>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《北京市供热采暖管理办法》</w:t>
            </w:r>
          </w:p>
        </w:tc>
        <w:tc>
          <w:tcPr>
            <w:tcW w:w="8505" w:type="dxa"/>
            <w:tcBorders>
              <w:tl2br w:val="nil"/>
              <w:tr2bl w:val="nil"/>
            </w:tcBorders>
            <w:shd w:val="clear" w:color="auto" w:fill="auto"/>
            <w:vAlign w:val="center"/>
          </w:tcPr>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第二十四条</w:t>
            </w:r>
            <w:r>
              <w:rPr>
                <w:rFonts w:hint="eastAsia" w:ascii="仿宋_GB2312" w:hAnsi="仿宋" w:eastAsia="仿宋_GB2312" w:cs="仿宋"/>
                <w:color w:val="000000" w:themeColor="text1"/>
                <w:sz w:val="24"/>
              </w:rPr>
              <w:t>　禁止实施下列危害供热安全的行为：</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（一）在规定的地下热力管道安全间距范围内修筑建筑物、构筑物；</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（二）在规定的地下热力管道安全间距范围内堆放物品，或者进行挖掘、取土、钻探、打桩、埋杆、栽植深根性植物和爆破作业；</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（三）向供热管沟内排放有毒、有害、易燃、易爆、易堵塞物品及雨水、污水、工业废液、垃圾；</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（四）擅自接入供热管网；</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（五）擅自在室内采暖系统上安装危害系统安全的设备；</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（六）擅自排放或者取用管道内热水或蒸汽；</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（七）擅自拆除、毁损警示标志；</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（八）擅自操作、拆除共用供热阀门，损坏共用阀门的铅封，改动或者损坏供热计量仪表及其附件等；</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（九）其他危害、损坏供热设施的行为。</w:t>
            </w:r>
          </w:p>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第三十五条第二款</w:t>
            </w:r>
            <w:r>
              <w:rPr>
                <w:rFonts w:hint="eastAsia" w:ascii="仿宋_GB2312" w:hAnsi="仿宋" w:eastAsia="仿宋_GB2312" w:cs="仿宋"/>
                <w:color w:val="000000" w:themeColor="text1"/>
                <w:sz w:val="24"/>
              </w:rPr>
              <w:t>　违反本办法第二十四条第（二）、（三）、（四）、（五）、（六）、（九）项规定的，由城市管理综合行政执法机关责令改正，严重影响供热设施安全的，可以处5000元以上3万元以下罚款。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6" w:hRule="atLeast"/>
          <w:jc w:val="center"/>
        </w:trPr>
        <w:tc>
          <w:tcPr>
            <w:tcW w:w="2022" w:type="dxa"/>
            <w:vMerge w:val="continue"/>
            <w:tcBorders>
              <w:tl2br w:val="nil"/>
              <w:tr2bl w:val="nil"/>
            </w:tcBorders>
            <w:shd w:val="clear" w:color="auto" w:fill="auto"/>
            <w:vAlign w:val="center"/>
          </w:tcPr>
          <w:p>
            <w:pPr>
              <w:widowControl/>
              <w:snapToGrid w:val="0"/>
              <w:spacing w:line="360" w:lineRule="exact"/>
              <w:jc w:val="center"/>
              <w:textAlignment w:val="bottom"/>
              <w:rPr>
                <w:rFonts w:ascii="宋体" w:hAnsi="宋体" w:eastAsia="宋体" w:cs="宋体"/>
                <w:color w:val="000000" w:themeColor="text1"/>
                <w:szCs w:val="21"/>
              </w:rPr>
            </w:pPr>
          </w:p>
        </w:tc>
        <w:tc>
          <w:tcPr>
            <w:tcW w:w="1843" w:type="dxa"/>
            <w:tcBorders>
              <w:tl2br w:val="nil"/>
              <w:tr2bl w:val="nil"/>
            </w:tcBorders>
            <w:shd w:val="clear" w:color="auto" w:fill="FFFFFF"/>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（九）未进行供热巡检</w:t>
            </w:r>
          </w:p>
        </w:tc>
        <w:tc>
          <w:tcPr>
            <w:tcW w:w="1842" w:type="dxa"/>
            <w:tcBorders>
              <w:tl2br w:val="nil"/>
              <w:tr2bl w:val="nil"/>
            </w:tcBorders>
            <w:shd w:val="clear" w:color="auto" w:fill="auto"/>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《北京市供热采暖管理办法》</w:t>
            </w:r>
          </w:p>
        </w:tc>
        <w:tc>
          <w:tcPr>
            <w:tcW w:w="8505" w:type="dxa"/>
            <w:tcBorders>
              <w:tl2br w:val="nil"/>
              <w:tr2bl w:val="nil"/>
            </w:tcBorders>
            <w:shd w:val="clear" w:color="auto" w:fill="auto"/>
            <w:vAlign w:val="center"/>
          </w:tcPr>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第十三条第一项</w:t>
            </w:r>
            <w:r>
              <w:rPr>
                <w:rFonts w:hint="eastAsia" w:ascii="仿宋_GB2312" w:hAnsi="仿宋" w:eastAsia="仿宋_GB2312" w:cs="仿宋"/>
                <w:color w:val="000000" w:themeColor="text1"/>
                <w:sz w:val="24"/>
              </w:rPr>
              <w:t>　供热单位应当按照国家和本市的相关标准、规范，向用户提供安全、稳定、质量合格的供热服务，建立健全供热运营管理制度、服务规范和安全操作规程，遵守下列规定：　</w:t>
            </w:r>
            <w:r>
              <w:rPr>
                <w:rFonts w:hint="eastAsia" w:ascii="仿宋_GB2312" w:hAnsi="仿宋" w:eastAsia="仿宋_GB2312" w:cs="仿宋"/>
                <w:color w:val="000000" w:themeColor="text1"/>
                <w:sz w:val="24"/>
              </w:rPr>
              <w:br w:type="textWrapping"/>
            </w:r>
            <w:r>
              <w:rPr>
                <w:rFonts w:hint="eastAsia" w:ascii="仿宋_GB2312" w:hAnsi="仿宋" w:eastAsia="仿宋_GB2312" w:cs="仿宋"/>
                <w:color w:val="000000" w:themeColor="text1"/>
                <w:sz w:val="24"/>
              </w:rPr>
              <w:t>　　（一）建立供热设施巡检制度，对管理范围内的供热设施进行检查，并作好记录。发现共用供热设施存在隐患的，应当及时消除；发现用户自用采暖设施存在隐患的，应当书面告知用户及时消除。</w:t>
            </w:r>
          </w:p>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第三十一条</w:t>
            </w:r>
            <w:r>
              <w:rPr>
                <w:rFonts w:hint="eastAsia" w:ascii="仿宋_GB2312" w:hAnsi="仿宋" w:eastAsia="仿宋_GB2312" w:cs="仿宋"/>
                <w:color w:val="000000" w:themeColor="text1"/>
                <w:sz w:val="24"/>
              </w:rPr>
              <w:t>　供热单位违反本办法第十三条第（一）项规定，未实施供热设施安全巡检制度的，由城市管理综合行政执法机关予以警告，警告两次的，处2万元罚款。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8" w:hRule="atLeast"/>
          <w:jc w:val="center"/>
        </w:trPr>
        <w:tc>
          <w:tcPr>
            <w:tcW w:w="2022" w:type="dxa"/>
            <w:vMerge w:val="restart"/>
            <w:tcBorders>
              <w:tl2br w:val="nil"/>
              <w:tr2bl w:val="nil"/>
            </w:tcBorders>
            <w:shd w:val="clear" w:color="auto" w:fill="auto"/>
            <w:vAlign w:val="center"/>
          </w:tcPr>
          <w:p>
            <w:pPr>
              <w:widowControl/>
              <w:snapToGrid w:val="0"/>
              <w:spacing w:line="360" w:lineRule="exact"/>
              <w:jc w:val="center"/>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三、燃气</w:t>
            </w:r>
          </w:p>
        </w:tc>
        <w:tc>
          <w:tcPr>
            <w:tcW w:w="1843" w:type="dxa"/>
            <w:tcBorders>
              <w:tl2br w:val="nil"/>
              <w:tr2bl w:val="nil"/>
            </w:tcBorders>
            <w:shd w:val="clear" w:color="auto" w:fill="auto"/>
            <w:vAlign w:val="center"/>
          </w:tcPr>
          <w:p>
            <w:pPr>
              <w:widowControl/>
              <w:snapToGrid w:val="0"/>
              <w:spacing w:line="360" w:lineRule="exact"/>
              <w:jc w:val="center"/>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（一）擅自操作公用燃气阀门</w:t>
            </w:r>
          </w:p>
        </w:tc>
        <w:tc>
          <w:tcPr>
            <w:tcW w:w="1842" w:type="dxa"/>
            <w:tcBorders>
              <w:tl2br w:val="nil"/>
              <w:tr2bl w:val="nil"/>
            </w:tcBorders>
            <w:shd w:val="clear" w:color="auto" w:fill="auto"/>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《城镇燃气管理条例》</w:t>
            </w:r>
          </w:p>
        </w:tc>
        <w:tc>
          <w:tcPr>
            <w:tcW w:w="8505" w:type="dxa"/>
            <w:tcBorders>
              <w:tl2br w:val="nil"/>
              <w:tr2bl w:val="nil"/>
            </w:tcBorders>
            <w:shd w:val="clear" w:color="auto" w:fill="auto"/>
            <w:vAlign w:val="center"/>
          </w:tcPr>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第四十九条第一款第一项</w:t>
            </w:r>
            <w:r>
              <w:rPr>
                <w:rFonts w:hint="eastAsia" w:ascii="仿宋_GB2312" w:hAnsi="仿宋" w:eastAsia="仿宋_GB2312" w:cs="仿宋"/>
                <w:color w:val="000000" w:themeColor="text1"/>
                <w:sz w:val="24"/>
              </w:rPr>
              <w:t>　违反本条例规定，燃气用户及相关单位和个人有下列行为之一的，由燃气管理部门责令限期改正；逾期不改正的，对单位可以处10万元以下罚款，对个人可以处1000元以下罚款；造成损失的，依法承担赔偿责任；构成犯罪的，依法追究刑事责任：</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（一）擅自操作公用燃气阀门的。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2" w:hRule="atLeast"/>
          <w:jc w:val="center"/>
        </w:trPr>
        <w:tc>
          <w:tcPr>
            <w:tcW w:w="2022" w:type="dxa"/>
            <w:vMerge w:val="continue"/>
            <w:tcBorders>
              <w:tl2br w:val="nil"/>
              <w:tr2bl w:val="nil"/>
            </w:tcBorders>
            <w:shd w:val="clear" w:color="auto" w:fill="auto"/>
            <w:vAlign w:val="center"/>
          </w:tcPr>
          <w:p>
            <w:pPr>
              <w:widowControl/>
              <w:snapToGrid w:val="0"/>
              <w:spacing w:line="360" w:lineRule="exact"/>
              <w:jc w:val="center"/>
              <w:textAlignment w:val="center"/>
              <w:rPr>
                <w:rFonts w:ascii="仿宋_GB2312" w:hAnsi="仿宋" w:eastAsia="仿宋_GB2312" w:cs="仿宋"/>
                <w:color w:val="000000" w:themeColor="text1"/>
                <w:sz w:val="24"/>
                <w:szCs w:val="21"/>
              </w:rPr>
            </w:pPr>
          </w:p>
        </w:tc>
        <w:tc>
          <w:tcPr>
            <w:tcW w:w="1843" w:type="dxa"/>
            <w:tcBorders>
              <w:tl2br w:val="nil"/>
              <w:tr2bl w:val="nil"/>
            </w:tcBorders>
            <w:shd w:val="clear" w:color="auto" w:fill="auto"/>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（二）使用天然气、液化石油气未安装浓度检测报警装置</w:t>
            </w:r>
          </w:p>
        </w:tc>
        <w:tc>
          <w:tcPr>
            <w:tcW w:w="1842" w:type="dxa"/>
            <w:tcBorders>
              <w:tl2br w:val="nil"/>
              <w:tr2bl w:val="nil"/>
            </w:tcBorders>
            <w:shd w:val="clear" w:color="auto" w:fill="auto"/>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《北京市消防条例》</w:t>
            </w:r>
          </w:p>
        </w:tc>
        <w:tc>
          <w:tcPr>
            <w:tcW w:w="8505" w:type="dxa"/>
            <w:tcBorders>
              <w:tl2br w:val="nil"/>
              <w:tr2bl w:val="nil"/>
            </w:tcBorders>
            <w:shd w:val="clear" w:color="auto" w:fill="auto"/>
            <w:vAlign w:val="center"/>
          </w:tcPr>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第四十九条</w:t>
            </w:r>
            <w:r>
              <w:rPr>
                <w:rFonts w:hint="eastAsia" w:ascii="仿宋_GB2312" w:hAnsi="仿宋" w:eastAsia="仿宋_GB2312" w:cs="仿宋"/>
                <w:color w:val="000000" w:themeColor="text1"/>
                <w:sz w:val="24"/>
              </w:rPr>
              <w:t>　违反本条例规定，燃气用户及相关单位和个人有下列行为之一的，由燃气管理部门责令限期改正；逾期不改正的，对单位可以处10万元以下罚款，对个人可以处1000元以下罚款；造成损失的，依法承担赔偿责任；构成犯罪的，依法追究刑事责任：</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（一）擅自操作公用燃气阀门的；</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（二）将燃气管道作为负重支架或者接地引线的；</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（三）安装、使用不符合气源要求的燃气燃烧器具的；</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（四）擅自安装、改装、拆除户内燃气设施和燃气计量装置的；</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（五）在不具备安全条件的场所使用、储存燃气的；</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（六）改变燃气用途或者转供燃气的；</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（七）未设立售后服务站点或者未配备经考核合格的燃气燃烧器具安装、维修人员的；</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（八）燃气燃烧器具的安装、维修不符合国家有关标准的。盗用燃气的，依照有关治安管理处罚的法律规定进行处罚。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2022" w:type="dxa"/>
            <w:vMerge w:val="continue"/>
            <w:tcBorders>
              <w:tl2br w:val="nil"/>
              <w:tr2bl w:val="nil"/>
            </w:tcBorders>
            <w:shd w:val="clear" w:color="auto" w:fill="auto"/>
            <w:vAlign w:val="center"/>
          </w:tcPr>
          <w:p>
            <w:pPr>
              <w:widowControl/>
              <w:snapToGrid w:val="0"/>
              <w:spacing w:line="360" w:lineRule="exact"/>
              <w:jc w:val="center"/>
              <w:textAlignment w:val="bottom"/>
              <w:rPr>
                <w:rFonts w:ascii="宋体" w:hAnsi="宋体" w:eastAsia="宋体" w:cs="宋体"/>
                <w:color w:val="000000" w:themeColor="text1"/>
                <w:szCs w:val="21"/>
              </w:rPr>
            </w:pPr>
          </w:p>
        </w:tc>
        <w:tc>
          <w:tcPr>
            <w:tcW w:w="1843" w:type="dxa"/>
            <w:tcBorders>
              <w:tl2br w:val="nil"/>
              <w:tr2bl w:val="nil"/>
            </w:tcBorders>
            <w:shd w:val="clear" w:color="auto" w:fill="auto"/>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（三）地下室燃气使用安全</w:t>
            </w:r>
          </w:p>
        </w:tc>
        <w:tc>
          <w:tcPr>
            <w:tcW w:w="1842" w:type="dxa"/>
            <w:tcBorders>
              <w:tl2br w:val="nil"/>
              <w:tr2bl w:val="nil"/>
            </w:tcBorders>
            <w:shd w:val="clear" w:color="auto" w:fill="auto"/>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《城镇燃气管理条例》</w:t>
            </w:r>
          </w:p>
        </w:tc>
        <w:tc>
          <w:tcPr>
            <w:tcW w:w="8505" w:type="dxa"/>
            <w:tcBorders>
              <w:tl2br w:val="nil"/>
              <w:tr2bl w:val="nil"/>
            </w:tcBorders>
            <w:shd w:val="clear" w:color="auto" w:fill="auto"/>
            <w:vAlign w:val="center"/>
          </w:tcPr>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第四十九条</w:t>
            </w:r>
            <w:r>
              <w:rPr>
                <w:rFonts w:hint="eastAsia" w:ascii="仿宋_GB2312" w:hAnsi="仿宋" w:eastAsia="仿宋_GB2312" w:cs="仿宋"/>
                <w:color w:val="000000" w:themeColor="text1"/>
                <w:sz w:val="24"/>
              </w:rPr>
              <w:t>　违反本条例规定，燃气用户及相关单位和个人有下列行为之一的，由燃气管理部门责令限期改正；逾期不改正的，对单位可以处10万元以下罚款，对个人可以处1000元以下罚款；造成损失的，依法承担赔偿责任；构成犯罪的，依法追究刑事责任：</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（一）擅自操作公用燃气阀门的；</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（二）将燃气管道作为负重支架或者接地引线的；</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（三）安装、使用不符合气源要求的燃气燃烧器具的；</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（四）擅自安装、改装、拆除户内燃气设施和燃气计量装置的；</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（五）在不具备安全条件的场所使用、储存燃气的；</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（六）改变燃气用途或者转供燃气的；</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（七）未设立售后服务站点或者未配备经考核合格的燃气燃烧器具安装、维修人员的；</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（八）燃气燃烧器具的安装、维修不符合国家有关标准的。盗用燃气的，依照有关治安管理处罚的法律规定进行处罚。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09" w:hRule="atLeast"/>
          <w:jc w:val="center"/>
        </w:trPr>
        <w:tc>
          <w:tcPr>
            <w:tcW w:w="2022" w:type="dxa"/>
            <w:vMerge w:val="restart"/>
            <w:tcBorders>
              <w:tl2br w:val="nil"/>
              <w:tr2bl w:val="nil"/>
            </w:tcBorders>
            <w:shd w:val="clear" w:color="auto" w:fill="auto"/>
            <w:vAlign w:val="center"/>
          </w:tcPr>
          <w:p>
            <w:pPr>
              <w:widowControl/>
              <w:snapToGrid w:val="0"/>
              <w:spacing w:line="360" w:lineRule="exact"/>
              <w:jc w:val="center"/>
              <w:textAlignment w:val="center"/>
              <w:rPr>
                <w:rFonts w:ascii="宋体" w:hAnsi="宋体" w:eastAsia="宋体" w:cs="宋体"/>
                <w:color w:val="000000" w:themeColor="text1"/>
                <w:szCs w:val="21"/>
              </w:rPr>
            </w:pPr>
            <w:r>
              <w:rPr>
                <w:rFonts w:hint="eastAsia" w:ascii="仿宋_GB2312" w:hAnsi="仿宋" w:eastAsia="仿宋_GB2312" w:cs="仿宋"/>
                <w:color w:val="000000" w:themeColor="text1"/>
                <w:sz w:val="24"/>
                <w:szCs w:val="21"/>
              </w:rPr>
              <w:t>四、供电</w:t>
            </w:r>
          </w:p>
        </w:tc>
        <w:tc>
          <w:tcPr>
            <w:tcW w:w="1843" w:type="dxa"/>
            <w:tcBorders>
              <w:tl2br w:val="nil"/>
              <w:tr2bl w:val="nil"/>
            </w:tcBorders>
            <w:shd w:val="clear" w:color="auto" w:fill="auto"/>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（一）危害供电</w:t>
            </w:r>
          </w:p>
        </w:tc>
        <w:tc>
          <w:tcPr>
            <w:tcW w:w="1842" w:type="dxa"/>
            <w:tcBorders>
              <w:tl2br w:val="nil"/>
              <w:tr2bl w:val="nil"/>
            </w:tcBorders>
            <w:shd w:val="clear" w:color="auto" w:fill="auto"/>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《中华人民共和国电力法》</w:t>
            </w:r>
          </w:p>
        </w:tc>
        <w:tc>
          <w:tcPr>
            <w:tcW w:w="8505" w:type="dxa"/>
            <w:tcBorders>
              <w:tl2br w:val="nil"/>
              <w:tr2bl w:val="nil"/>
            </w:tcBorders>
            <w:shd w:val="clear" w:color="auto" w:fill="auto"/>
            <w:vAlign w:val="center"/>
          </w:tcPr>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第三十二条第一款</w:t>
            </w:r>
            <w:r>
              <w:rPr>
                <w:rFonts w:hint="eastAsia" w:ascii="仿宋_GB2312" w:hAnsi="仿宋" w:eastAsia="仿宋_GB2312" w:cs="仿宋"/>
                <w:color w:val="000000" w:themeColor="text1"/>
                <w:sz w:val="24"/>
              </w:rPr>
              <w:t>　用户用电不得危害供电、用电安全和扰乱供电用电秩序。</w:t>
            </w:r>
          </w:p>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第六十五条</w:t>
            </w:r>
            <w:r>
              <w:rPr>
                <w:rFonts w:hint="eastAsia" w:ascii="仿宋_GB2312" w:hAnsi="仿宋" w:eastAsia="仿宋_GB2312" w:cs="仿宋"/>
                <w:color w:val="000000" w:themeColor="text1"/>
                <w:sz w:val="24"/>
              </w:rPr>
              <w:t>　违反本法第三十二条规定，危害供电、用电安全或者扰乱供电、用电秩序的，由电力管理部门责令改正，给予警告；情节严重或者拒绝改正的，可以中止供电，可以并处五万元以下的罚款。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0" w:hRule="atLeast"/>
          <w:jc w:val="center"/>
        </w:trPr>
        <w:tc>
          <w:tcPr>
            <w:tcW w:w="2022" w:type="dxa"/>
            <w:vMerge w:val="continue"/>
            <w:tcBorders>
              <w:tl2br w:val="nil"/>
              <w:tr2bl w:val="nil"/>
            </w:tcBorders>
            <w:shd w:val="clear" w:color="auto" w:fill="auto"/>
            <w:vAlign w:val="center"/>
          </w:tcPr>
          <w:p>
            <w:pPr>
              <w:widowControl/>
              <w:snapToGrid w:val="0"/>
              <w:spacing w:line="360" w:lineRule="exact"/>
              <w:jc w:val="center"/>
              <w:textAlignment w:val="bottom"/>
              <w:rPr>
                <w:rFonts w:ascii="宋体" w:hAnsi="宋体" w:eastAsia="宋体" w:cs="宋体"/>
                <w:color w:val="000000" w:themeColor="text1"/>
                <w:szCs w:val="21"/>
              </w:rPr>
            </w:pPr>
          </w:p>
        </w:tc>
        <w:tc>
          <w:tcPr>
            <w:tcW w:w="1843" w:type="dxa"/>
            <w:tcBorders>
              <w:tl2br w:val="nil"/>
              <w:tr2bl w:val="nil"/>
            </w:tcBorders>
            <w:shd w:val="clear" w:color="auto" w:fill="auto"/>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（二）危害供电设施</w:t>
            </w:r>
          </w:p>
        </w:tc>
        <w:tc>
          <w:tcPr>
            <w:tcW w:w="1842" w:type="dxa"/>
            <w:tcBorders>
              <w:tl2br w:val="nil"/>
              <w:tr2bl w:val="nil"/>
            </w:tcBorders>
            <w:shd w:val="clear" w:color="auto" w:fill="auto"/>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《电力设施保护条例》</w:t>
            </w:r>
          </w:p>
        </w:tc>
        <w:tc>
          <w:tcPr>
            <w:tcW w:w="8505" w:type="dxa"/>
            <w:tcBorders>
              <w:tl2br w:val="nil"/>
              <w:tr2bl w:val="nil"/>
            </w:tcBorders>
            <w:shd w:val="clear" w:color="auto" w:fill="auto"/>
            <w:vAlign w:val="center"/>
          </w:tcPr>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第二十七条</w:t>
            </w:r>
            <w:r>
              <w:rPr>
                <w:rFonts w:hint="eastAsia" w:ascii="仿宋_GB2312" w:hAnsi="仿宋" w:eastAsia="仿宋_GB2312" w:cs="仿宋"/>
                <w:color w:val="000000" w:themeColor="text1"/>
                <w:sz w:val="24"/>
              </w:rPr>
              <w:t>　违反本条例规定，危害发电设施、变电设施和电力线路设施的，由电力管理部门责令改正；拒不改正的，处10000元以下的罚款。电力主管部门有权制止并责令其限期改正；情节严重的，可处以罚款；凡造成损失的，电力主管部门还应责令其赔偿，并建议其上级主管部门对有关责任人员给予行政处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48" w:hRule="atLeast"/>
          <w:jc w:val="center"/>
        </w:trPr>
        <w:tc>
          <w:tcPr>
            <w:tcW w:w="2022" w:type="dxa"/>
            <w:vMerge w:val="continue"/>
            <w:tcBorders>
              <w:tl2br w:val="nil"/>
              <w:tr2bl w:val="nil"/>
            </w:tcBorders>
            <w:shd w:val="clear" w:color="auto" w:fill="auto"/>
            <w:vAlign w:val="center"/>
          </w:tcPr>
          <w:p>
            <w:pPr>
              <w:widowControl/>
              <w:snapToGrid w:val="0"/>
              <w:spacing w:line="360" w:lineRule="exact"/>
              <w:jc w:val="center"/>
              <w:textAlignment w:val="bottom"/>
              <w:rPr>
                <w:rFonts w:ascii="宋体" w:hAnsi="宋体" w:eastAsia="宋体" w:cs="宋体"/>
                <w:color w:val="000000" w:themeColor="text1"/>
                <w:szCs w:val="21"/>
              </w:rPr>
            </w:pPr>
          </w:p>
        </w:tc>
        <w:tc>
          <w:tcPr>
            <w:tcW w:w="1843" w:type="dxa"/>
            <w:tcBorders>
              <w:tl2br w:val="nil"/>
              <w:tr2bl w:val="nil"/>
            </w:tcBorders>
            <w:shd w:val="clear" w:color="auto" w:fill="auto"/>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（三）危害供用电安全</w:t>
            </w:r>
          </w:p>
        </w:tc>
        <w:tc>
          <w:tcPr>
            <w:tcW w:w="1842" w:type="dxa"/>
            <w:tcBorders>
              <w:tl2br w:val="nil"/>
              <w:tr2bl w:val="nil"/>
            </w:tcBorders>
            <w:shd w:val="clear" w:color="auto" w:fill="auto"/>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《供用电监督管理办法》</w:t>
            </w:r>
          </w:p>
        </w:tc>
        <w:tc>
          <w:tcPr>
            <w:tcW w:w="8505" w:type="dxa"/>
            <w:tcBorders>
              <w:tl2br w:val="nil"/>
              <w:tr2bl w:val="nil"/>
            </w:tcBorders>
            <w:shd w:val="clear" w:color="auto" w:fill="auto"/>
            <w:vAlign w:val="center"/>
          </w:tcPr>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第三十二条第一款</w:t>
            </w:r>
            <w:r>
              <w:rPr>
                <w:rFonts w:hint="eastAsia" w:ascii="仿宋_GB2312" w:hAnsi="仿宋" w:eastAsia="仿宋_GB2312" w:cs="仿宋"/>
                <w:color w:val="000000" w:themeColor="text1"/>
                <w:sz w:val="24"/>
              </w:rPr>
              <w:t>　用户用电不得危害供电、用电安全和扰乱供电、用电秩序。</w:t>
            </w:r>
          </w:p>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第六十五条</w:t>
            </w:r>
            <w:r>
              <w:rPr>
                <w:rFonts w:hint="eastAsia" w:ascii="仿宋_GB2312" w:hAnsi="仿宋" w:eastAsia="仿宋_GB2312" w:cs="仿宋"/>
                <w:color w:val="000000" w:themeColor="text1"/>
                <w:sz w:val="24"/>
              </w:rPr>
              <w:t>　违反本法第三十二条规定，危害供电、用电安全或者扰乱供电、用电秩序的，由电力管理部门责令改正，给予警告；情节严重或者拒绝改正的，可以中止供电，可以并处五万元以下的罚款。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60" w:hRule="atLeast"/>
          <w:jc w:val="center"/>
        </w:trPr>
        <w:tc>
          <w:tcPr>
            <w:tcW w:w="2022" w:type="dxa"/>
            <w:vMerge w:val="restart"/>
            <w:tcBorders>
              <w:tl2br w:val="nil"/>
              <w:tr2bl w:val="nil"/>
            </w:tcBorders>
            <w:shd w:val="clear" w:color="auto" w:fill="auto"/>
            <w:vAlign w:val="center"/>
          </w:tcPr>
          <w:p>
            <w:pPr>
              <w:widowControl/>
              <w:snapToGrid w:val="0"/>
              <w:spacing w:line="360" w:lineRule="exact"/>
              <w:jc w:val="center"/>
              <w:textAlignment w:val="center"/>
              <w:rPr>
                <w:rFonts w:ascii="宋体" w:hAnsi="宋体" w:eastAsia="宋体" w:cs="宋体"/>
                <w:color w:val="000000" w:themeColor="text1"/>
                <w:szCs w:val="21"/>
              </w:rPr>
            </w:pPr>
            <w:r>
              <w:rPr>
                <w:rFonts w:hint="eastAsia" w:ascii="仿宋_GB2312" w:hAnsi="仿宋" w:eastAsia="仿宋_GB2312" w:cs="仿宋"/>
                <w:color w:val="000000" w:themeColor="text1"/>
                <w:sz w:val="24"/>
                <w:szCs w:val="21"/>
              </w:rPr>
              <w:t>五、电梯</w:t>
            </w:r>
          </w:p>
        </w:tc>
        <w:tc>
          <w:tcPr>
            <w:tcW w:w="1843" w:type="dxa"/>
            <w:tcBorders>
              <w:tl2br w:val="nil"/>
              <w:tr2bl w:val="nil"/>
            </w:tcBorders>
            <w:shd w:val="clear" w:color="auto" w:fill="auto"/>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（一）安全使用说明、安全注意事项和警示标志</w:t>
            </w:r>
          </w:p>
        </w:tc>
        <w:tc>
          <w:tcPr>
            <w:tcW w:w="1842" w:type="dxa"/>
            <w:tcBorders>
              <w:tl2br w:val="nil"/>
              <w:tr2bl w:val="nil"/>
            </w:tcBorders>
            <w:shd w:val="clear" w:color="auto" w:fill="auto"/>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《中华人民共和国特种设备安全法》</w:t>
            </w:r>
          </w:p>
        </w:tc>
        <w:tc>
          <w:tcPr>
            <w:tcW w:w="8505" w:type="dxa"/>
            <w:tcBorders>
              <w:tl2br w:val="nil"/>
              <w:tr2bl w:val="nil"/>
            </w:tcBorders>
            <w:shd w:val="clear" w:color="auto" w:fill="auto"/>
            <w:vAlign w:val="center"/>
          </w:tcPr>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第四十三条第二款</w:t>
            </w:r>
            <w:r>
              <w:rPr>
                <w:rFonts w:hint="eastAsia" w:ascii="仿宋_GB2312" w:hAnsi="仿宋" w:eastAsia="仿宋_GB2312" w:cs="仿宋"/>
                <w:color w:val="000000" w:themeColor="text1"/>
                <w:sz w:val="24"/>
              </w:rPr>
              <w:t>　电梯、客运索道、大型游乐设施的运营使用单位应当将电梯、客运索道、大型游乐设施的安全使用说明、安全注意事项和警示标志置于易于为乘客注意的显著位置。</w:t>
            </w:r>
          </w:p>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第八十七条第一款第三项</w:t>
            </w:r>
            <w:r>
              <w:rPr>
                <w:rFonts w:hint="eastAsia" w:ascii="仿宋_GB2312" w:hAnsi="仿宋" w:eastAsia="仿宋_GB2312" w:cs="仿宋"/>
                <w:color w:val="000000" w:themeColor="text1"/>
                <w:sz w:val="24"/>
              </w:rPr>
              <w:t>　违反本法规定，电梯、客运索道、大型游乐设施的运营使用单位有下列情形之一的，责令限期改正；逾期未改正的，责令停止使用有关特种设备或者停产停业整顿，处二万元以上十万元以下罚款：</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（三）未将电梯、客运索道、大型游乐设施的安全使用说明、安全注意事项和警示标志置于易于为乘客注意的显著位置的。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6" w:hRule="atLeast"/>
          <w:jc w:val="center"/>
        </w:trPr>
        <w:tc>
          <w:tcPr>
            <w:tcW w:w="2022" w:type="dxa"/>
            <w:vMerge w:val="continue"/>
            <w:tcBorders>
              <w:tl2br w:val="nil"/>
              <w:tr2bl w:val="nil"/>
            </w:tcBorders>
            <w:shd w:val="clear" w:color="auto" w:fill="auto"/>
            <w:vAlign w:val="center"/>
          </w:tcPr>
          <w:p>
            <w:pPr>
              <w:widowControl/>
              <w:snapToGrid w:val="0"/>
              <w:spacing w:line="360" w:lineRule="exact"/>
              <w:jc w:val="center"/>
              <w:textAlignment w:val="bottom"/>
              <w:rPr>
                <w:rFonts w:ascii="宋体" w:hAnsi="宋体" w:eastAsia="宋体" w:cs="宋体"/>
                <w:color w:val="000000" w:themeColor="text1"/>
                <w:szCs w:val="21"/>
              </w:rPr>
            </w:pPr>
          </w:p>
        </w:tc>
        <w:tc>
          <w:tcPr>
            <w:tcW w:w="1843" w:type="dxa"/>
            <w:tcBorders>
              <w:tl2br w:val="nil"/>
              <w:tr2bl w:val="nil"/>
            </w:tcBorders>
            <w:shd w:val="clear" w:color="auto" w:fill="auto"/>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（二）紧急报警装置</w:t>
            </w:r>
          </w:p>
        </w:tc>
        <w:tc>
          <w:tcPr>
            <w:tcW w:w="1842" w:type="dxa"/>
            <w:tcBorders>
              <w:tl2br w:val="nil"/>
              <w:tr2bl w:val="nil"/>
            </w:tcBorders>
            <w:shd w:val="clear" w:color="auto" w:fill="auto"/>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《北京市电梯安全监督管理办法》</w:t>
            </w:r>
          </w:p>
        </w:tc>
        <w:tc>
          <w:tcPr>
            <w:tcW w:w="8505" w:type="dxa"/>
            <w:tcBorders>
              <w:tl2br w:val="nil"/>
              <w:tr2bl w:val="nil"/>
            </w:tcBorders>
            <w:shd w:val="clear" w:color="auto" w:fill="auto"/>
            <w:vAlign w:val="center"/>
          </w:tcPr>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第十五条第一款第三项</w:t>
            </w:r>
            <w:r>
              <w:rPr>
                <w:rFonts w:hint="eastAsia" w:ascii="仿宋_GB2312" w:hAnsi="仿宋" w:eastAsia="仿宋_GB2312" w:cs="仿宋"/>
                <w:color w:val="000000" w:themeColor="text1"/>
                <w:sz w:val="24"/>
              </w:rPr>
              <w:t>　电梯使用单位应当做到：</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（三）保证电梯紧急报警装置能够有效应答紧急呼救；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22" w:hRule="atLeast"/>
          <w:jc w:val="center"/>
        </w:trPr>
        <w:tc>
          <w:tcPr>
            <w:tcW w:w="2022" w:type="dxa"/>
            <w:vMerge w:val="continue"/>
            <w:tcBorders>
              <w:tl2br w:val="nil"/>
              <w:tr2bl w:val="nil"/>
            </w:tcBorders>
            <w:shd w:val="clear" w:color="auto" w:fill="auto"/>
            <w:vAlign w:val="center"/>
          </w:tcPr>
          <w:p>
            <w:pPr>
              <w:widowControl/>
              <w:snapToGrid w:val="0"/>
              <w:spacing w:line="360" w:lineRule="exact"/>
              <w:jc w:val="center"/>
              <w:textAlignment w:val="bottom"/>
              <w:rPr>
                <w:rFonts w:ascii="宋体" w:hAnsi="宋体" w:eastAsia="宋体" w:cs="宋体"/>
                <w:color w:val="000000" w:themeColor="text1"/>
                <w:szCs w:val="21"/>
              </w:rPr>
            </w:pPr>
          </w:p>
        </w:tc>
        <w:tc>
          <w:tcPr>
            <w:tcW w:w="1843" w:type="dxa"/>
            <w:tcBorders>
              <w:tl2br w:val="nil"/>
              <w:tr2bl w:val="nil"/>
            </w:tcBorders>
            <w:shd w:val="clear" w:color="auto" w:fill="auto"/>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（三）《安全检验合格》标志</w:t>
            </w:r>
          </w:p>
        </w:tc>
        <w:tc>
          <w:tcPr>
            <w:tcW w:w="1842" w:type="dxa"/>
            <w:tcBorders>
              <w:tl2br w:val="nil"/>
              <w:tr2bl w:val="nil"/>
            </w:tcBorders>
            <w:shd w:val="clear" w:color="auto" w:fill="auto"/>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《北京市电梯安全监督管理办法》</w:t>
            </w:r>
          </w:p>
        </w:tc>
        <w:tc>
          <w:tcPr>
            <w:tcW w:w="8505" w:type="dxa"/>
            <w:tcBorders>
              <w:tl2br w:val="nil"/>
              <w:tr2bl w:val="nil"/>
            </w:tcBorders>
            <w:shd w:val="clear" w:color="auto" w:fill="auto"/>
            <w:vAlign w:val="center"/>
          </w:tcPr>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第十五条第一款第四项</w:t>
            </w:r>
            <w:r>
              <w:rPr>
                <w:rFonts w:hint="eastAsia" w:ascii="仿宋_GB2312" w:hAnsi="仿宋" w:eastAsia="仿宋_GB2312" w:cs="仿宋"/>
                <w:color w:val="000000" w:themeColor="text1"/>
                <w:sz w:val="24"/>
              </w:rPr>
              <w:t>　电梯使用单位应当做到：</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（四）在电梯轿厢内或者出入口的明显位置张贴安全注意事项、警示标志和有效的《安全检验合格》标志；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7" w:hRule="atLeast"/>
          <w:jc w:val="center"/>
        </w:trPr>
        <w:tc>
          <w:tcPr>
            <w:tcW w:w="2022" w:type="dxa"/>
            <w:vMerge w:val="continue"/>
            <w:tcBorders>
              <w:tl2br w:val="nil"/>
              <w:tr2bl w:val="nil"/>
            </w:tcBorders>
            <w:shd w:val="clear" w:color="auto" w:fill="auto"/>
            <w:vAlign w:val="center"/>
          </w:tcPr>
          <w:p>
            <w:pPr>
              <w:widowControl/>
              <w:snapToGrid w:val="0"/>
              <w:spacing w:line="360" w:lineRule="exact"/>
              <w:jc w:val="center"/>
              <w:textAlignment w:val="bottom"/>
              <w:rPr>
                <w:rFonts w:ascii="宋体" w:hAnsi="宋体" w:eastAsia="宋体" w:cs="宋体"/>
                <w:color w:val="000000" w:themeColor="text1"/>
                <w:szCs w:val="21"/>
              </w:rPr>
            </w:pPr>
          </w:p>
        </w:tc>
        <w:tc>
          <w:tcPr>
            <w:tcW w:w="1843" w:type="dxa"/>
            <w:tcBorders>
              <w:tl2br w:val="nil"/>
              <w:tr2bl w:val="nil"/>
            </w:tcBorders>
            <w:shd w:val="clear" w:color="auto" w:fill="auto"/>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（四）使用单位应急救援措施</w:t>
            </w:r>
          </w:p>
        </w:tc>
        <w:tc>
          <w:tcPr>
            <w:tcW w:w="1842" w:type="dxa"/>
            <w:tcBorders>
              <w:tl2br w:val="nil"/>
              <w:tr2bl w:val="nil"/>
            </w:tcBorders>
            <w:shd w:val="clear" w:color="auto" w:fill="auto"/>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《北京市电梯安全监督管理办法》</w:t>
            </w:r>
          </w:p>
        </w:tc>
        <w:tc>
          <w:tcPr>
            <w:tcW w:w="8505" w:type="dxa"/>
            <w:tcBorders>
              <w:tl2br w:val="nil"/>
              <w:tr2bl w:val="nil"/>
            </w:tcBorders>
            <w:shd w:val="clear" w:color="auto" w:fill="auto"/>
            <w:vAlign w:val="center"/>
          </w:tcPr>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第十五条第一款第六项</w:t>
            </w:r>
            <w:r>
              <w:rPr>
                <w:rFonts w:hint="eastAsia" w:ascii="仿宋_GB2312" w:hAnsi="仿宋" w:eastAsia="仿宋_GB2312" w:cs="仿宋"/>
                <w:color w:val="000000" w:themeColor="text1"/>
                <w:sz w:val="24"/>
              </w:rPr>
              <w:t>　电梯使用单位应当做到：</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（六）发生电梯乘客被困故障时，迅速采取措施对被困人员进行抚慰和组织救援。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6" w:hRule="atLeast"/>
          <w:jc w:val="center"/>
        </w:trPr>
        <w:tc>
          <w:tcPr>
            <w:tcW w:w="2022" w:type="dxa"/>
            <w:vMerge w:val="continue"/>
            <w:tcBorders>
              <w:tl2br w:val="nil"/>
              <w:tr2bl w:val="nil"/>
            </w:tcBorders>
            <w:shd w:val="clear" w:color="auto" w:fill="auto"/>
            <w:vAlign w:val="center"/>
          </w:tcPr>
          <w:p>
            <w:pPr>
              <w:widowControl/>
              <w:snapToGrid w:val="0"/>
              <w:spacing w:line="360" w:lineRule="exact"/>
              <w:jc w:val="center"/>
              <w:textAlignment w:val="bottom"/>
              <w:rPr>
                <w:rFonts w:ascii="宋体" w:hAnsi="宋体" w:eastAsia="宋体" w:cs="宋体"/>
                <w:color w:val="000000" w:themeColor="text1"/>
                <w:szCs w:val="21"/>
              </w:rPr>
            </w:pPr>
          </w:p>
        </w:tc>
        <w:tc>
          <w:tcPr>
            <w:tcW w:w="1843" w:type="dxa"/>
            <w:tcBorders>
              <w:tl2br w:val="nil"/>
              <w:tr2bl w:val="nil"/>
            </w:tcBorders>
            <w:shd w:val="clear" w:color="auto" w:fill="auto"/>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（五）安全教育和技术培训</w:t>
            </w:r>
          </w:p>
        </w:tc>
        <w:tc>
          <w:tcPr>
            <w:tcW w:w="1842" w:type="dxa"/>
            <w:tcBorders>
              <w:tl2br w:val="nil"/>
              <w:tr2bl w:val="nil"/>
            </w:tcBorders>
            <w:shd w:val="clear" w:color="auto" w:fill="auto"/>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《北京市电梯安全监督管理办法》</w:t>
            </w:r>
          </w:p>
        </w:tc>
        <w:tc>
          <w:tcPr>
            <w:tcW w:w="8505" w:type="dxa"/>
            <w:tcBorders>
              <w:tl2br w:val="nil"/>
              <w:tr2bl w:val="nil"/>
            </w:tcBorders>
            <w:shd w:val="clear" w:color="auto" w:fill="auto"/>
            <w:vAlign w:val="center"/>
          </w:tcPr>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第十三条第一款</w:t>
            </w:r>
            <w:r>
              <w:rPr>
                <w:rFonts w:hint="eastAsia" w:ascii="仿宋_GB2312" w:hAnsi="仿宋" w:eastAsia="仿宋_GB2312" w:cs="仿宋"/>
                <w:color w:val="000000" w:themeColor="text1"/>
                <w:sz w:val="24"/>
              </w:rPr>
              <w:t>　电梯安装、改造、维修和日常维护保养单位应当对电梯作业人员进行安全教育和技术培训，并记录教育和培训情况。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6" w:hRule="atLeast"/>
          <w:jc w:val="center"/>
        </w:trPr>
        <w:tc>
          <w:tcPr>
            <w:tcW w:w="2022" w:type="dxa"/>
            <w:vMerge w:val="continue"/>
            <w:tcBorders>
              <w:tl2br w:val="nil"/>
              <w:tr2bl w:val="nil"/>
            </w:tcBorders>
            <w:shd w:val="clear" w:color="auto" w:fill="auto"/>
            <w:vAlign w:val="center"/>
          </w:tcPr>
          <w:p>
            <w:pPr>
              <w:widowControl/>
              <w:snapToGrid w:val="0"/>
              <w:spacing w:line="360" w:lineRule="exact"/>
              <w:jc w:val="center"/>
              <w:textAlignment w:val="bottom"/>
              <w:rPr>
                <w:rFonts w:ascii="宋体" w:hAnsi="宋体" w:eastAsia="宋体" w:cs="宋体"/>
                <w:color w:val="000000" w:themeColor="text1"/>
                <w:szCs w:val="21"/>
              </w:rPr>
            </w:pPr>
          </w:p>
        </w:tc>
        <w:tc>
          <w:tcPr>
            <w:tcW w:w="1843" w:type="dxa"/>
            <w:tcBorders>
              <w:tl2br w:val="nil"/>
              <w:tr2bl w:val="nil"/>
            </w:tcBorders>
            <w:shd w:val="clear" w:color="auto" w:fill="auto"/>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（六）持证上岗</w:t>
            </w:r>
          </w:p>
        </w:tc>
        <w:tc>
          <w:tcPr>
            <w:tcW w:w="1842" w:type="dxa"/>
            <w:tcBorders>
              <w:tl2br w:val="nil"/>
              <w:tr2bl w:val="nil"/>
            </w:tcBorders>
            <w:shd w:val="clear" w:color="auto" w:fill="auto"/>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《北京市电梯安全监督管理办法》</w:t>
            </w:r>
          </w:p>
        </w:tc>
        <w:tc>
          <w:tcPr>
            <w:tcW w:w="8505" w:type="dxa"/>
            <w:tcBorders>
              <w:tl2br w:val="nil"/>
              <w:tr2bl w:val="nil"/>
            </w:tcBorders>
            <w:shd w:val="clear" w:color="auto" w:fill="auto"/>
            <w:vAlign w:val="center"/>
          </w:tcPr>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第十四条第二款</w:t>
            </w:r>
            <w:r>
              <w:rPr>
                <w:rFonts w:hint="eastAsia" w:ascii="仿宋_GB2312" w:hAnsi="仿宋" w:eastAsia="仿宋_GB2312" w:cs="仿宋"/>
                <w:color w:val="000000" w:themeColor="text1"/>
                <w:sz w:val="24"/>
              </w:rPr>
              <w:t>　电梯安装、改造、维修和日常维护保养作业人员作业时应当持证。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6" w:hRule="atLeast"/>
          <w:jc w:val="center"/>
        </w:trPr>
        <w:tc>
          <w:tcPr>
            <w:tcW w:w="2022" w:type="dxa"/>
            <w:vMerge w:val="continue"/>
            <w:tcBorders>
              <w:tl2br w:val="nil"/>
              <w:tr2bl w:val="nil"/>
            </w:tcBorders>
            <w:shd w:val="clear" w:color="auto" w:fill="auto"/>
            <w:vAlign w:val="center"/>
          </w:tcPr>
          <w:p>
            <w:pPr>
              <w:widowControl/>
              <w:snapToGrid w:val="0"/>
              <w:spacing w:line="360" w:lineRule="exact"/>
              <w:jc w:val="center"/>
              <w:textAlignment w:val="bottom"/>
              <w:rPr>
                <w:rFonts w:ascii="宋体" w:hAnsi="宋体" w:eastAsia="宋体" w:cs="宋体"/>
                <w:color w:val="000000" w:themeColor="text1"/>
                <w:szCs w:val="21"/>
              </w:rPr>
            </w:pPr>
          </w:p>
        </w:tc>
        <w:tc>
          <w:tcPr>
            <w:tcW w:w="1843" w:type="dxa"/>
            <w:tcBorders>
              <w:tl2br w:val="nil"/>
              <w:tr2bl w:val="nil"/>
            </w:tcBorders>
            <w:shd w:val="clear" w:color="auto" w:fill="auto"/>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（七）施工、维修和日常维护保养资质</w:t>
            </w:r>
          </w:p>
        </w:tc>
        <w:tc>
          <w:tcPr>
            <w:tcW w:w="1842" w:type="dxa"/>
            <w:tcBorders>
              <w:tl2br w:val="nil"/>
              <w:tr2bl w:val="nil"/>
            </w:tcBorders>
            <w:shd w:val="clear" w:color="auto" w:fill="auto"/>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《北京市电梯安全监督管理办法》</w:t>
            </w:r>
          </w:p>
        </w:tc>
        <w:tc>
          <w:tcPr>
            <w:tcW w:w="8505" w:type="dxa"/>
            <w:tcBorders>
              <w:tl2br w:val="nil"/>
              <w:tr2bl w:val="nil"/>
            </w:tcBorders>
            <w:shd w:val="clear" w:color="auto" w:fill="auto"/>
            <w:vAlign w:val="center"/>
          </w:tcPr>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第四十二条</w:t>
            </w:r>
            <w:r>
              <w:rPr>
                <w:rFonts w:hint="eastAsia" w:ascii="仿宋_GB2312" w:hAnsi="仿宋" w:eastAsia="仿宋_GB2312" w:cs="仿宋"/>
                <w:color w:val="000000" w:themeColor="text1"/>
                <w:sz w:val="24"/>
              </w:rPr>
              <w:t>　违反本办法第十七条规定，电梯使用单位委托未取得相应许可的单位实施电梯安装、改造、维修或者日常维护保养活动的，由电梯安全监督管理部门责令立即停止违法行为，对相关电梯使用单位处5000元以上5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6" w:hRule="atLeast"/>
          <w:jc w:val="center"/>
        </w:trPr>
        <w:tc>
          <w:tcPr>
            <w:tcW w:w="2022" w:type="dxa"/>
            <w:vMerge w:val="continue"/>
            <w:tcBorders>
              <w:tl2br w:val="nil"/>
              <w:tr2bl w:val="nil"/>
            </w:tcBorders>
            <w:shd w:val="clear" w:color="auto" w:fill="auto"/>
            <w:vAlign w:val="center"/>
          </w:tcPr>
          <w:p>
            <w:pPr>
              <w:widowControl/>
              <w:snapToGrid w:val="0"/>
              <w:spacing w:line="360" w:lineRule="exact"/>
              <w:jc w:val="center"/>
              <w:textAlignment w:val="bottom"/>
              <w:rPr>
                <w:rFonts w:ascii="宋体" w:hAnsi="宋体" w:eastAsia="宋体" w:cs="宋体"/>
                <w:color w:val="000000" w:themeColor="text1"/>
                <w:szCs w:val="21"/>
              </w:rPr>
            </w:pPr>
          </w:p>
        </w:tc>
        <w:tc>
          <w:tcPr>
            <w:tcW w:w="1843" w:type="dxa"/>
            <w:tcBorders>
              <w:tl2br w:val="nil"/>
              <w:tr2bl w:val="nil"/>
            </w:tcBorders>
            <w:shd w:val="clear" w:color="auto" w:fill="auto"/>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（八）未执行电梯安全管理地方标准</w:t>
            </w:r>
          </w:p>
        </w:tc>
        <w:tc>
          <w:tcPr>
            <w:tcW w:w="1842" w:type="dxa"/>
            <w:tcBorders>
              <w:tl2br w:val="nil"/>
              <w:tr2bl w:val="nil"/>
            </w:tcBorders>
            <w:shd w:val="clear" w:color="auto" w:fill="auto"/>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《北京市电梯安全监督管理办法》</w:t>
            </w:r>
          </w:p>
        </w:tc>
        <w:tc>
          <w:tcPr>
            <w:tcW w:w="8505" w:type="dxa"/>
            <w:tcBorders>
              <w:tl2br w:val="nil"/>
              <w:tr2bl w:val="nil"/>
            </w:tcBorders>
            <w:shd w:val="clear" w:color="auto" w:fill="auto"/>
            <w:vAlign w:val="center"/>
          </w:tcPr>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第三十七条第一款</w:t>
            </w:r>
            <w:r>
              <w:rPr>
                <w:rFonts w:hint="eastAsia" w:ascii="仿宋_GB2312" w:hAnsi="仿宋" w:eastAsia="仿宋_GB2312" w:cs="仿宋"/>
                <w:color w:val="000000" w:themeColor="text1"/>
                <w:sz w:val="24"/>
              </w:rPr>
              <w:t>　违反本办法第十条第一款规定，电梯安装、改造、维修单位未执行本市《电梯安装维修作业安全规范》导致存在安全隐患的，由电梯安全监督管理部门责令限期改正；逾期未改正的，处5000元以下罚款。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6" w:hRule="atLeast"/>
          <w:jc w:val="center"/>
        </w:trPr>
        <w:tc>
          <w:tcPr>
            <w:tcW w:w="2022" w:type="dxa"/>
            <w:vMerge w:val="continue"/>
            <w:tcBorders>
              <w:tl2br w:val="nil"/>
              <w:tr2bl w:val="nil"/>
            </w:tcBorders>
            <w:shd w:val="clear" w:color="auto" w:fill="auto"/>
            <w:vAlign w:val="center"/>
          </w:tcPr>
          <w:p>
            <w:pPr>
              <w:widowControl/>
              <w:snapToGrid w:val="0"/>
              <w:spacing w:line="360" w:lineRule="exact"/>
              <w:jc w:val="center"/>
              <w:textAlignment w:val="bottom"/>
              <w:rPr>
                <w:rFonts w:ascii="宋体" w:hAnsi="宋体" w:eastAsia="宋体" w:cs="宋体"/>
                <w:color w:val="000000" w:themeColor="text1"/>
                <w:szCs w:val="21"/>
              </w:rPr>
            </w:pPr>
          </w:p>
        </w:tc>
        <w:tc>
          <w:tcPr>
            <w:tcW w:w="1843" w:type="dxa"/>
            <w:tcBorders>
              <w:tl2br w:val="nil"/>
              <w:tr2bl w:val="nil"/>
            </w:tcBorders>
            <w:shd w:val="clear" w:color="auto" w:fill="auto"/>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（九）设置安全管理机构或配备专职安全管理人员</w:t>
            </w:r>
          </w:p>
        </w:tc>
        <w:tc>
          <w:tcPr>
            <w:tcW w:w="1842" w:type="dxa"/>
            <w:tcBorders>
              <w:tl2br w:val="nil"/>
              <w:tr2bl w:val="nil"/>
            </w:tcBorders>
            <w:shd w:val="clear" w:color="auto" w:fill="auto"/>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《中华人民共和国特种设备安全法》</w:t>
            </w:r>
          </w:p>
        </w:tc>
        <w:tc>
          <w:tcPr>
            <w:tcW w:w="8505" w:type="dxa"/>
            <w:tcBorders>
              <w:tl2br w:val="nil"/>
              <w:tr2bl w:val="nil"/>
            </w:tcBorders>
            <w:shd w:val="clear" w:color="auto" w:fill="auto"/>
            <w:vAlign w:val="center"/>
          </w:tcPr>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第三十六条</w:t>
            </w:r>
            <w:r>
              <w:rPr>
                <w:rFonts w:hint="eastAsia" w:ascii="仿宋_GB2312" w:hAnsi="仿宋" w:eastAsia="仿宋_GB2312" w:cs="仿宋"/>
                <w:color w:val="000000" w:themeColor="text1"/>
                <w:sz w:val="24"/>
              </w:rPr>
              <w:t>　电梯、客运索道、大型游乐设施等为公众提供服务的特种设备的运营使用单位，应当对特种设备的使用安全负责，设置特种设备安全管理机构或者配备专职的特种设备安全管理人员；其他特种设备使用单位，应当根据情况设置特种设备安全管理机构或者配备专职、兼职的特种设备安全管理人员。</w:t>
            </w:r>
          </w:p>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第八十七条第一款第一项</w:t>
            </w:r>
            <w:r>
              <w:rPr>
                <w:rFonts w:hint="eastAsia" w:ascii="仿宋_GB2312" w:hAnsi="仿宋" w:eastAsia="仿宋_GB2312" w:cs="仿宋"/>
                <w:color w:val="000000" w:themeColor="text1"/>
                <w:sz w:val="24"/>
              </w:rPr>
              <w:t>　违反本法规定，电梯、客运索道、大型游乐设施的运营使用单位有下列情形之一的，责令限期改正；逾期未改正的，责令停止使用有关特种设备或者停产停业整顿，处二万元以上十万元以下罚款：（一）未设置特种设备安全管理机构或者配备专职的特种设备安全管理人员的；</w:t>
            </w:r>
          </w:p>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第八十八条第一款</w:t>
            </w:r>
            <w:r>
              <w:rPr>
                <w:rFonts w:hint="eastAsia" w:ascii="仿宋_GB2312" w:hAnsi="仿宋" w:eastAsia="仿宋_GB2312" w:cs="仿宋"/>
                <w:color w:val="000000" w:themeColor="text1"/>
                <w:sz w:val="24"/>
              </w:rPr>
              <w:t>　违反本法规定，未经许可，擅自从事电梯维护保养的，责令停止违法行为，处一万元以上十万元以下罚款；有违法所得的，没收违法所得。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6" w:hRule="atLeast"/>
          <w:jc w:val="center"/>
        </w:trPr>
        <w:tc>
          <w:tcPr>
            <w:tcW w:w="2022" w:type="dxa"/>
            <w:vMerge w:val="continue"/>
            <w:tcBorders>
              <w:tl2br w:val="nil"/>
              <w:tr2bl w:val="nil"/>
            </w:tcBorders>
            <w:shd w:val="clear" w:color="auto" w:fill="auto"/>
            <w:vAlign w:val="center"/>
          </w:tcPr>
          <w:p>
            <w:pPr>
              <w:widowControl/>
              <w:snapToGrid w:val="0"/>
              <w:spacing w:line="360" w:lineRule="exact"/>
              <w:jc w:val="center"/>
              <w:textAlignment w:val="bottom"/>
              <w:rPr>
                <w:rFonts w:ascii="宋体" w:hAnsi="宋体" w:eastAsia="宋体" w:cs="宋体"/>
                <w:color w:val="000000" w:themeColor="text1"/>
                <w:szCs w:val="21"/>
              </w:rPr>
            </w:pPr>
          </w:p>
        </w:tc>
        <w:tc>
          <w:tcPr>
            <w:tcW w:w="1843" w:type="dxa"/>
            <w:tcBorders>
              <w:tl2br w:val="nil"/>
              <w:tr2bl w:val="nil"/>
            </w:tcBorders>
            <w:shd w:val="clear" w:color="auto" w:fill="auto"/>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（十）维护保养电梯的安全技术性能</w:t>
            </w:r>
          </w:p>
        </w:tc>
        <w:tc>
          <w:tcPr>
            <w:tcW w:w="1842" w:type="dxa"/>
            <w:tcBorders>
              <w:tl2br w:val="nil"/>
              <w:tr2bl w:val="nil"/>
            </w:tcBorders>
            <w:shd w:val="clear" w:color="auto" w:fill="auto"/>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《北京市电梯安全监督管理办法》</w:t>
            </w:r>
          </w:p>
        </w:tc>
        <w:tc>
          <w:tcPr>
            <w:tcW w:w="8505" w:type="dxa"/>
            <w:tcBorders>
              <w:tl2br w:val="nil"/>
              <w:tr2bl w:val="nil"/>
            </w:tcBorders>
            <w:shd w:val="clear" w:color="auto" w:fill="auto"/>
            <w:vAlign w:val="center"/>
          </w:tcPr>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第十二条第一款第一项</w:t>
            </w:r>
            <w:r>
              <w:rPr>
                <w:rFonts w:hint="eastAsia" w:ascii="仿宋_GB2312" w:hAnsi="仿宋" w:eastAsia="仿宋_GB2312" w:cs="仿宋"/>
                <w:color w:val="000000" w:themeColor="text1"/>
                <w:sz w:val="24"/>
              </w:rPr>
              <w:t>　从事电梯日常维护保养的单位应当做好下列工作：</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（一）按照电梯使用维护说明书提出的保养项目、方法和周期要求，制定电梯的日常维护保养方案，确保其维护保养电梯的安全技术性能；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6" w:hRule="atLeast"/>
          <w:jc w:val="center"/>
        </w:trPr>
        <w:tc>
          <w:tcPr>
            <w:tcW w:w="2022" w:type="dxa"/>
            <w:vMerge w:val="continue"/>
            <w:tcBorders>
              <w:tl2br w:val="nil"/>
              <w:tr2bl w:val="nil"/>
            </w:tcBorders>
            <w:shd w:val="clear" w:color="auto" w:fill="auto"/>
            <w:vAlign w:val="center"/>
          </w:tcPr>
          <w:p>
            <w:pPr>
              <w:widowControl/>
              <w:snapToGrid w:val="0"/>
              <w:spacing w:line="360" w:lineRule="exact"/>
              <w:jc w:val="center"/>
              <w:textAlignment w:val="bottom"/>
              <w:rPr>
                <w:rFonts w:ascii="宋体" w:hAnsi="宋体" w:eastAsia="宋体" w:cs="宋体"/>
                <w:color w:val="000000" w:themeColor="text1"/>
                <w:szCs w:val="21"/>
              </w:rPr>
            </w:pPr>
          </w:p>
        </w:tc>
        <w:tc>
          <w:tcPr>
            <w:tcW w:w="1843" w:type="dxa"/>
            <w:tcBorders>
              <w:tl2br w:val="nil"/>
              <w:tr2bl w:val="nil"/>
            </w:tcBorders>
            <w:shd w:val="clear" w:color="auto" w:fill="auto"/>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（十一）维护保养现场安全防护措施</w:t>
            </w:r>
          </w:p>
        </w:tc>
        <w:tc>
          <w:tcPr>
            <w:tcW w:w="1842" w:type="dxa"/>
            <w:tcBorders>
              <w:tl2br w:val="nil"/>
              <w:tr2bl w:val="nil"/>
            </w:tcBorders>
            <w:shd w:val="clear" w:color="auto" w:fill="auto"/>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《中华人民共和国特种设备安全法》</w:t>
            </w:r>
          </w:p>
        </w:tc>
        <w:tc>
          <w:tcPr>
            <w:tcW w:w="8505" w:type="dxa"/>
            <w:tcBorders>
              <w:tl2br w:val="nil"/>
              <w:tr2bl w:val="nil"/>
            </w:tcBorders>
            <w:shd w:val="clear" w:color="auto" w:fill="auto"/>
            <w:vAlign w:val="center"/>
          </w:tcPr>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第四十五条第二款</w:t>
            </w:r>
            <w:r>
              <w:rPr>
                <w:rFonts w:hint="eastAsia" w:ascii="仿宋_GB2312" w:hAnsi="仿宋" w:eastAsia="仿宋_GB2312" w:cs="仿宋"/>
                <w:color w:val="000000" w:themeColor="text1"/>
                <w:sz w:val="24"/>
              </w:rPr>
              <w:t>　电梯的维护保养单位应当在维护保养中严格执行安全技术规范的要求，保证其维护保养的电梯的安全性能，并负责落实现场安全防护措施，保证施工安全。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6" w:hRule="atLeast"/>
          <w:jc w:val="center"/>
        </w:trPr>
        <w:tc>
          <w:tcPr>
            <w:tcW w:w="2022" w:type="dxa"/>
            <w:vMerge w:val="continue"/>
            <w:tcBorders>
              <w:tl2br w:val="nil"/>
              <w:tr2bl w:val="nil"/>
            </w:tcBorders>
            <w:shd w:val="clear" w:color="auto" w:fill="auto"/>
            <w:vAlign w:val="center"/>
          </w:tcPr>
          <w:p>
            <w:pPr>
              <w:widowControl/>
              <w:snapToGrid w:val="0"/>
              <w:spacing w:line="360" w:lineRule="exact"/>
              <w:jc w:val="center"/>
              <w:textAlignment w:val="bottom"/>
              <w:rPr>
                <w:rFonts w:ascii="宋体" w:hAnsi="宋体" w:eastAsia="宋体" w:cs="宋体"/>
                <w:color w:val="000000" w:themeColor="text1"/>
                <w:szCs w:val="21"/>
              </w:rPr>
            </w:pPr>
          </w:p>
        </w:tc>
        <w:tc>
          <w:tcPr>
            <w:tcW w:w="1843" w:type="dxa"/>
            <w:tcBorders>
              <w:tl2br w:val="nil"/>
              <w:tr2bl w:val="nil"/>
            </w:tcBorders>
            <w:shd w:val="clear" w:color="auto" w:fill="auto"/>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（十二）维护保养单位应急救援措施</w:t>
            </w:r>
          </w:p>
        </w:tc>
        <w:tc>
          <w:tcPr>
            <w:tcW w:w="1842" w:type="dxa"/>
            <w:tcBorders>
              <w:tl2br w:val="nil"/>
              <w:tr2bl w:val="nil"/>
            </w:tcBorders>
            <w:shd w:val="clear" w:color="auto" w:fill="auto"/>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《中华人民共和国特种设备安全法》</w:t>
            </w:r>
          </w:p>
        </w:tc>
        <w:tc>
          <w:tcPr>
            <w:tcW w:w="8505" w:type="dxa"/>
            <w:tcBorders>
              <w:tl2br w:val="nil"/>
              <w:tr2bl w:val="nil"/>
            </w:tcBorders>
            <w:shd w:val="clear" w:color="auto" w:fill="auto"/>
            <w:vAlign w:val="center"/>
          </w:tcPr>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第四十五条第三款</w:t>
            </w:r>
            <w:r>
              <w:rPr>
                <w:rFonts w:hint="eastAsia" w:ascii="仿宋_GB2312" w:hAnsi="仿宋" w:eastAsia="仿宋_GB2312" w:cs="仿宋"/>
                <w:color w:val="000000" w:themeColor="text1"/>
                <w:sz w:val="24"/>
              </w:rPr>
              <w:t>　电梯的维护保养单位应当对其维护保养的电梯的安全性能负责；接到故障通知后，应当立即赶赴现场，并采取必要的应急救援措施。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6" w:hRule="atLeast"/>
          <w:jc w:val="center"/>
        </w:trPr>
        <w:tc>
          <w:tcPr>
            <w:tcW w:w="2022" w:type="dxa"/>
            <w:vMerge w:val="continue"/>
            <w:tcBorders>
              <w:tl2br w:val="nil"/>
              <w:tr2bl w:val="nil"/>
            </w:tcBorders>
            <w:shd w:val="clear" w:color="auto" w:fill="auto"/>
            <w:vAlign w:val="center"/>
          </w:tcPr>
          <w:p>
            <w:pPr>
              <w:widowControl/>
              <w:snapToGrid w:val="0"/>
              <w:spacing w:line="360" w:lineRule="exact"/>
              <w:jc w:val="center"/>
              <w:textAlignment w:val="bottom"/>
              <w:rPr>
                <w:rFonts w:ascii="宋体" w:hAnsi="宋体" w:eastAsia="宋体" w:cs="宋体"/>
                <w:color w:val="000000" w:themeColor="text1"/>
                <w:szCs w:val="21"/>
              </w:rPr>
            </w:pPr>
          </w:p>
        </w:tc>
        <w:tc>
          <w:tcPr>
            <w:tcW w:w="1843" w:type="dxa"/>
            <w:tcBorders>
              <w:tl2br w:val="nil"/>
              <w:tr2bl w:val="nil"/>
            </w:tcBorders>
            <w:shd w:val="clear" w:color="auto" w:fill="auto"/>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（十三）施工和维修许可</w:t>
            </w:r>
          </w:p>
        </w:tc>
        <w:tc>
          <w:tcPr>
            <w:tcW w:w="1842" w:type="dxa"/>
            <w:tcBorders>
              <w:tl2br w:val="nil"/>
              <w:tr2bl w:val="nil"/>
            </w:tcBorders>
            <w:shd w:val="clear" w:color="auto" w:fill="auto"/>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《中华人民共和国特种设备安全法》</w:t>
            </w:r>
          </w:p>
        </w:tc>
        <w:tc>
          <w:tcPr>
            <w:tcW w:w="8505" w:type="dxa"/>
            <w:tcBorders>
              <w:tl2br w:val="nil"/>
              <w:tr2bl w:val="nil"/>
            </w:tcBorders>
            <w:shd w:val="clear" w:color="auto" w:fill="auto"/>
            <w:vAlign w:val="center"/>
          </w:tcPr>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第四十五条第一款</w:t>
            </w:r>
            <w:r>
              <w:rPr>
                <w:rFonts w:hint="eastAsia" w:ascii="仿宋_GB2312" w:hAnsi="仿宋" w:eastAsia="仿宋_GB2312" w:cs="仿宋"/>
                <w:color w:val="000000" w:themeColor="text1"/>
                <w:sz w:val="24"/>
              </w:rPr>
              <w:t>　电梯的维护保养应当由电梯制造单位或者依照本法取得许可的安装、改造、修理单位进行。</w:t>
            </w:r>
          </w:p>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第八十八条第二款</w:t>
            </w:r>
            <w:r>
              <w:rPr>
                <w:rFonts w:hint="eastAsia" w:ascii="仿宋_GB2312" w:hAnsi="仿宋" w:eastAsia="仿宋_GB2312" w:cs="仿宋"/>
                <w:color w:val="000000" w:themeColor="text1"/>
                <w:sz w:val="24"/>
              </w:rPr>
              <w:t>　电梯的维护保养单位未按照本法规定以及安全技术规范的要求，进行电梯维护保养的，依照前款规定处罚。</w:t>
            </w:r>
          </w:p>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第八十三条第一款第八项</w:t>
            </w:r>
            <w:r>
              <w:rPr>
                <w:rFonts w:hint="eastAsia" w:ascii="仿宋_GB2312" w:hAnsi="仿宋" w:eastAsia="仿宋_GB2312" w:cs="仿宋"/>
                <w:color w:val="000000" w:themeColor="text1"/>
                <w:sz w:val="24"/>
              </w:rPr>
              <w:t>特种设备使用单位有下列情形之一的，由特种设备安全监督管理部门责令限期改正；逾期未改正的，处2000元以上2万元以下罚款；情节严重的，责令停止使用或者停产停业整顿：</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（八）未依照本条例第三十一条第二款的规定，对电梯进行清洁、润滑、调整和检查的；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2022" w:type="dxa"/>
            <w:vMerge w:val="continue"/>
            <w:tcBorders>
              <w:tl2br w:val="nil"/>
              <w:tr2bl w:val="nil"/>
            </w:tcBorders>
            <w:shd w:val="clear" w:color="auto" w:fill="auto"/>
            <w:vAlign w:val="center"/>
          </w:tcPr>
          <w:p>
            <w:pPr>
              <w:widowControl/>
              <w:snapToGrid w:val="0"/>
              <w:spacing w:line="360" w:lineRule="exact"/>
              <w:jc w:val="center"/>
              <w:textAlignment w:val="bottom"/>
              <w:rPr>
                <w:rFonts w:ascii="宋体" w:hAnsi="宋体" w:eastAsia="宋体" w:cs="宋体"/>
                <w:color w:val="000000" w:themeColor="text1"/>
                <w:szCs w:val="21"/>
              </w:rPr>
            </w:pPr>
          </w:p>
        </w:tc>
        <w:tc>
          <w:tcPr>
            <w:tcW w:w="1843" w:type="dxa"/>
            <w:tcBorders>
              <w:tl2br w:val="nil"/>
              <w:tr2bl w:val="nil"/>
            </w:tcBorders>
            <w:shd w:val="clear" w:color="auto" w:fill="auto"/>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（十四）日常维护保养</w:t>
            </w:r>
          </w:p>
        </w:tc>
        <w:tc>
          <w:tcPr>
            <w:tcW w:w="1842" w:type="dxa"/>
            <w:tcBorders>
              <w:tl2br w:val="nil"/>
              <w:tr2bl w:val="nil"/>
            </w:tcBorders>
            <w:shd w:val="clear" w:color="auto" w:fill="auto"/>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《特种设备安全监察条例》</w:t>
            </w:r>
          </w:p>
        </w:tc>
        <w:tc>
          <w:tcPr>
            <w:tcW w:w="8505" w:type="dxa"/>
            <w:tcBorders>
              <w:tl2br w:val="nil"/>
              <w:tr2bl w:val="nil"/>
            </w:tcBorders>
            <w:shd w:val="clear" w:color="auto" w:fill="auto"/>
            <w:vAlign w:val="center"/>
          </w:tcPr>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第三十一条第二款</w:t>
            </w:r>
            <w:r>
              <w:rPr>
                <w:rFonts w:hint="eastAsia" w:ascii="仿宋_GB2312" w:hAnsi="仿宋" w:eastAsia="仿宋_GB2312" w:cs="仿宋"/>
                <w:color w:val="000000" w:themeColor="text1"/>
                <w:sz w:val="24"/>
              </w:rPr>
              <w:t>　电梯应当至少每15日进行一次清洁、润滑、调整和检查。</w:t>
            </w:r>
          </w:p>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第八十三条第一款第八项</w:t>
            </w:r>
            <w:r>
              <w:rPr>
                <w:rFonts w:hint="eastAsia" w:ascii="仿宋_GB2312" w:hAnsi="仿宋" w:eastAsia="仿宋_GB2312" w:cs="仿宋"/>
                <w:color w:val="000000" w:themeColor="text1"/>
                <w:sz w:val="24"/>
              </w:rPr>
              <w:t>　特种设备使用单位有下列情形之一的，由特种设备安全监督管理部门责令限期改正；逾期未改正的，处2000元以上2万元以下罚款；情节严重的，责令停止使用或者停产停业整顿：</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（八）未依照本条例第三十一条第二款的规定，对电梯进行清洁、润滑、调整和检查的；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2022" w:type="dxa"/>
            <w:vMerge w:val="continue"/>
            <w:tcBorders>
              <w:tl2br w:val="nil"/>
              <w:tr2bl w:val="nil"/>
            </w:tcBorders>
            <w:shd w:val="clear" w:color="auto" w:fill="auto"/>
            <w:vAlign w:val="center"/>
          </w:tcPr>
          <w:p>
            <w:pPr>
              <w:widowControl/>
              <w:snapToGrid w:val="0"/>
              <w:spacing w:line="360" w:lineRule="exact"/>
              <w:jc w:val="center"/>
              <w:textAlignment w:val="bottom"/>
              <w:rPr>
                <w:rFonts w:ascii="宋体" w:hAnsi="宋体" w:eastAsia="宋体" w:cs="宋体"/>
                <w:color w:val="000000" w:themeColor="text1"/>
                <w:szCs w:val="21"/>
              </w:rPr>
            </w:pPr>
          </w:p>
        </w:tc>
        <w:tc>
          <w:tcPr>
            <w:tcW w:w="1843" w:type="dxa"/>
            <w:tcBorders>
              <w:tl2br w:val="nil"/>
              <w:tr2bl w:val="nil"/>
            </w:tcBorders>
            <w:shd w:val="clear" w:color="auto" w:fill="auto"/>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（十五）安装、改造、重大维修过程监督检验</w:t>
            </w:r>
          </w:p>
        </w:tc>
        <w:tc>
          <w:tcPr>
            <w:tcW w:w="1842" w:type="dxa"/>
            <w:tcBorders>
              <w:tl2br w:val="nil"/>
              <w:tr2bl w:val="nil"/>
            </w:tcBorders>
            <w:shd w:val="clear" w:color="auto" w:fill="auto"/>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《特种设备安全监察条例》</w:t>
            </w:r>
          </w:p>
        </w:tc>
        <w:tc>
          <w:tcPr>
            <w:tcW w:w="8505" w:type="dxa"/>
            <w:tcBorders>
              <w:tl2br w:val="nil"/>
              <w:tr2bl w:val="nil"/>
            </w:tcBorders>
            <w:shd w:val="clear" w:color="auto" w:fill="auto"/>
          </w:tcPr>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第七十九条</w:t>
            </w:r>
            <w:r>
              <w:rPr>
                <w:rFonts w:hint="eastAsia" w:ascii="仿宋_GB2312" w:hAnsi="仿宋" w:eastAsia="仿宋_GB2312" w:cs="仿宋"/>
                <w:color w:val="000000" w:themeColor="text1"/>
                <w:sz w:val="24"/>
              </w:rPr>
              <w:t>　锅炉、压力容器、压力管道元件、起重机械、大型游乐设施的制造过程和锅炉、压力容器、电梯、起重机械、客运索道、大型游乐设施的安装、改造、重大维修过程，以及锅炉清洗过程，未经国务院特种设备安全监督管理部门核准的检验检测机构按照安全技术规范的要求进行监督检验的，由特种设备安全监督管理部门责令改正，已经出厂的，没收违法生产、销售的产品，已经实施安装、改造、重大维修或者清洗的，责令限期进行监督检验，处5万元以上20万元以下罚款；有违法所得的，没收违法所得；情节严重的，撤销制造、安装、改造或者维修单位已经取得的许可，并由工商行政管理部门吊销其营业执照；触犯刑律的，对负有责任的主管人员和其他直接责任人员依照刑法关于生产、销售伪劣产品罪或者其他罪的规定，依法追究刑事责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48" w:hRule="atLeast"/>
          <w:jc w:val="center"/>
        </w:trPr>
        <w:tc>
          <w:tcPr>
            <w:tcW w:w="2022" w:type="dxa"/>
            <w:vMerge w:val="restart"/>
            <w:tcBorders>
              <w:tl2br w:val="nil"/>
              <w:tr2bl w:val="nil"/>
            </w:tcBorders>
            <w:shd w:val="clear" w:color="auto" w:fill="auto"/>
            <w:vAlign w:val="center"/>
          </w:tcPr>
          <w:p>
            <w:pPr>
              <w:widowControl/>
              <w:snapToGrid w:val="0"/>
              <w:spacing w:line="360" w:lineRule="exact"/>
              <w:jc w:val="center"/>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六、公共区域及共用设施</w:t>
            </w:r>
          </w:p>
        </w:tc>
        <w:tc>
          <w:tcPr>
            <w:tcW w:w="1843" w:type="dxa"/>
            <w:tcBorders>
              <w:tl2br w:val="nil"/>
              <w:tr2bl w:val="nil"/>
            </w:tcBorders>
            <w:shd w:val="clear" w:color="auto" w:fill="auto"/>
            <w:vAlign w:val="center"/>
          </w:tcPr>
          <w:p>
            <w:pPr>
              <w:widowControl/>
              <w:snapToGrid w:val="0"/>
              <w:spacing w:line="360" w:lineRule="exac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（一）物业管理区域内道路、场地的管理使用</w:t>
            </w:r>
          </w:p>
        </w:tc>
        <w:tc>
          <w:tcPr>
            <w:tcW w:w="1842" w:type="dxa"/>
            <w:tcBorders>
              <w:tl2br w:val="nil"/>
              <w:tr2bl w:val="nil"/>
            </w:tcBorders>
            <w:shd w:val="clear" w:color="auto" w:fill="auto"/>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《物业管理条例》</w:t>
            </w:r>
          </w:p>
        </w:tc>
        <w:tc>
          <w:tcPr>
            <w:tcW w:w="8505" w:type="dxa"/>
            <w:tcBorders>
              <w:tl2br w:val="nil"/>
              <w:tr2bl w:val="nil"/>
            </w:tcBorders>
            <w:shd w:val="clear" w:color="auto" w:fill="auto"/>
            <w:vAlign w:val="center"/>
          </w:tcPr>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第五十条第一款</w:t>
            </w:r>
            <w:r>
              <w:rPr>
                <w:rFonts w:hint="eastAsia" w:ascii="仿宋_GB2312" w:hAnsi="仿宋" w:eastAsia="仿宋_GB2312" w:cs="仿宋"/>
                <w:color w:val="000000" w:themeColor="text1"/>
                <w:sz w:val="24"/>
              </w:rPr>
              <w:t>　业主、物业服务企业不得擅自占用、挖掘物业管理区域内的道路、场地，损害业主的共同利益。</w:t>
            </w:r>
          </w:p>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第六十三条第二项</w:t>
            </w:r>
            <w:r>
              <w:rPr>
                <w:rFonts w:hint="eastAsia" w:ascii="仿宋_GB2312" w:hAnsi="仿宋" w:eastAsia="仿宋_GB2312" w:cs="仿宋"/>
                <w:color w:val="000000" w:themeColor="text1"/>
                <w:sz w:val="24"/>
              </w:rPr>
              <w:t>　违反本条例的规定，有下列行为之一的，由县级以上地方人民政府房地产行政主管部门责令限期改正，给予警告，并按照本条第二款的规定处以罚款；所得收益，用于物业管理区域内物业共用部位、共用设施设备的维修、养护，剩余部分按照业主大会的决定使用：</w:t>
            </w:r>
          </w:p>
          <w:p>
            <w:pPr>
              <w:widowControl/>
              <w:numPr>
                <w:ilvl w:val="0"/>
                <w:numId w:val="9"/>
              </w:numPr>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擅自占用、挖掘物业管理区域内道路、场地，损害业主共同利益的。</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个人有前款规定行为之一的，处1000元以上1万元以下的罚款；单位有前款规定行为之一的，处5万元以上20万元以下的罚款。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48" w:hRule="atLeast"/>
          <w:jc w:val="center"/>
        </w:trPr>
        <w:tc>
          <w:tcPr>
            <w:tcW w:w="2022" w:type="dxa"/>
            <w:vMerge w:val="continue"/>
            <w:tcBorders>
              <w:tl2br w:val="nil"/>
              <w:tr2bl w:val="nil"/>
            </w:tcBorders>
            <w:shd w:val="clear" w:color="auto" w:fill="auto"/>
            <w:vAlign w:val="center"/>
          </w:tcPr>
          <w:p>
            <w:pPr>
              <w:widowControl/>
              <w:snapToGrid w:val="0"/>
              <w:spacing w:line="360" w:lineRule="exact"/>
              <w:jc w:val="center"/>
              <w:textAlignment w:val="bottom"/>
              <w:rPr>
                <w:rFonts w:ascii="宋体" w:hAnsi="宋体" w:eastAsia="宋体" w:cs="宋体"/>
                <w:color w:val="000000" w:themeColor="text1"/>
                <w:szCs w:val="21"/>
              </w:rPr>
            </w:pPr>
          </w:p>
        </w:tc>
        <w:tc>
          <w:tcPr>
            <w:tcW w:w="1843" w:type="dxa"/>
            <w:tcBorders>
              <w:tl2br w:val="nil"/>
              <w:tr2bl w:val="nil"/>
            </w:tcBorders>
            <w:shd w:val="clear" w:color="auto" w:fill="auto"/>
            <w:vAlign w:val="center"/>
          </w:tcPr>
          <w:p>
            <w:pPr>
              <w:widowControl/>
              <w:snapToGrid w:val="0"/>
              <w:spacing w:line="360" w:lineRule="exact"/>
              <w:textAlignment w:val="bottom"/>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（二）物业共用部位、共用设施设备的利用经营</w:t>
            </w:r>
          </w:p>
        </w:tc>
        <w:tc>
          <w:tcPr>
            <w:tcW w:w="1842" w:type="dxa"/>
            <w:tcBorders>
              <w:tl2br w:val="nil"/>
              <w:tr2bl w:val="nil"/>
            </w:tcBorders>
            <w:shd w:val="clear" w:color="auto" w:fill="auto"/>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《物业管理条例》</w:t>
            </w:r>
          </w:p>
        </w:tc>
        <w:tc>
          <w:tcPr>
            <w:tcW w:w="8505" w:type="dxa"/>
            <w:tcBorders>
              <w:tl2br w:val="nil"/>
              <w:tr2bl w:val="nil"/>
            </w:tcBorders>
            <w:shd w:val="clear" w:color="auto" w:fill="auto"/>
            <w:vAlign w:val="center"/>
          </w:tcPr>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第五十四条</w:t>
            </w:r>
            <w:r>
              <w:rPr>
                <w:rFonts w:hint="eastAsia" w:ascii="仿宋_GB2312" w:hAnsi="仿宋" w:eastAsia="仿宋_GB2312" w:cs="仿宋"/>
                <w:color w:val="000000" w:themeColor="text1"/>
                <w:sz w:val="24"/>
              </w:rPr>
              <w:t>　利用物业共用部位、共用设施设备进行经营的，应当在征得相关业主、业主大会、物业服务企业的同意后，按照规定办理有关手续。业主所得收益应当主要用于补充专项维修资金，也可以按照业主大会的决定使用。</w:t>
            </w:r>
          </w:p>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第六十三条第三项</w:t>
            </w:r>
            <w:r>
              <w:rPr>
                <w:rFonts w:hint="eastAsia" w:ascii="仿宋_GB2312" w:hAnsi="仿宋" w:eastAsia="仿宋_GB2312" w:cs="仿宋"/>
                <w:color w:val="000000" w:themeColor="text1"/>
                <w:sz w:val="24"/>
              </w:rPr>
              <w:t>　违反本条例的规定，有下列行为之一的，由县级以上地方人民政府房地产行政主管部门责令限期改正，给予警告，并按照本条第二款的规定处以罚款；所得收益，用于物业管理区域内物业共用部位、共用设施设备的维修、养护，剩余部分按照业主大会的决定使用：</w:t>
            </w:r>
          </w:p>
          <w:p>
            <w:pPr>
              <w:widowControl/>
              <w:numPr>
                <w:ilvl w:val="0"/>
                <w:numId w:val="9"/>
              </w:numPr>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擅自利用物业共用部位、共用设施设备进行经营的。</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个人有前款规定行为之一的，处1000元以上1万元以下的罚款；单位有前款规定行为之一的，处5万元以上20万元以下的罚款。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48" w:hRule="atLeast"/>
          <w:jc w:val="center"/>
        </w:trPr>
        <w:tc>
          <w:tcPr>
            <w:tcW w:w="2022" w:type="dxa"/>
            <w:vMerge w:val="continue"/>
            <w:tcBorders>
              <w:tl2br w:val="nil"/>
              <w:tr2bl w:val="nil"/>
            </w:tcBorders>
            <w:shd w:val="clear" w:color="auto" w:fill="auto"/>
            <w:vAlign w:val="center"/>
          </w:tcPr>
          <w:p>
            <w:pPr>
              <w:widowControl/>
              <w:snapToGrid w:val="0"/>
              <w:spacing w:line="360" w:lineRule="exact"/>
              <w:jc w:val="center"/>
              <w:textAlignment w:val="bottom"/>
              <w:rPr>
                <w:rFonts w:ascii="宋体" w:hAnsi="宋体" w:eastAsia="宋体" w:cs="宋体"/>
                <w:color w:val="000000" w:themeColor="text1"/>
                <w:szCs w:val="21"/>
              </w:rPr>
            </w:pPr>
          </w:p>
        </w:tc>
        <w:tc>
          <w:tcPr>
            <w:tcW w:w="1843" w:type="dxa"/>
            <w:tcBorders>
              <w:tl2br w:val="nil"/>
              <w:tr2bl w:val="nil"/>
            </w:tcBorders>
            <w:shd w:val="clear" w:color="auto" w:fill="auto"/>
            <w:vAlign w:val="center"/>
          </w:tcPr>
          <w:p>
            <w:pPr>
              <w:widowControl/>
              <w:snapToGrid w:val="0"/>
              <w:spacing w:line="360" w:lineRule="exact"/>
              <w:textAlignment w:val="bottom"/>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（三）违规在居住区公共区域内设置障碍物</w:t>
            </w:r>
          </w:p>
        </w:tc>
        <w:tc>
          <w:tcPr>
            <w:tcW w:w="1842" w:type="dxa"/>
            <w:tcBorders>
              <w:tl2br w:val="nil"/>
              <w:tr2bl w:val="nil"/>
            </w:tcBorders>
            <w:shd w:val="clear" w:color="auto" w:fill="auto"/>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《北京市机动车停车条例》</w:t>
            </w:r>
          </w:p>
        </w:tc>
        <w:tc>
          <w:tcPr>
            <w:tcW w:w="8505" w:type="dxa"/>
            <w:tcBorders>
              <w:tl2br w:val="nil"/>
              <w:tr2bl w:val="nil"/>
            </w:tcBorders>
            <w:shd w:val="clear" w:color="auto" w:fill="auto"/>
            <w:vAlign w:val="center"/>
          </w:tcPr>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第二十六条</w:t>
            </w:r>
            <w:r>
              <w:rPr>
                <w:rFonts w:hint="eastAsia" w:ascii="仿宋_GB2312" w:hAnsi="仿宋" w:eastAsia="仿宋_GB2312" w:cs="仿宋"/>
                <w:color w:val="000000" w:themeColor="text1"/>
                <w:sz w:val="24"/>
              </w:rPr>
              <w:t>　任何单位和个人不得擅自在道路上和其他公共区域内设置固定或者可移动障碍物阻碍机动车停放和通行；不得在未取得所有权和专属使用权的停车泊位上设置地桩、地锁。物业服务企业应当在物业管理协议和车位租赁协议中予以明示并统一管理。</w:t>
            </w:r>
          </w:p>
          <w:p>
            <w:pPr>
              <w:widowControl/>
              <w:snapToGrid w:val="0"/>
              <w:spacing w:line="400" w:lineRule="exact"/>
              <w:ind w:firstLine="480" w:firstLineChars="200"/>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违反前款规定，擅自设置固定或者可移动障碍物的，道路范围内由公安机关交通管理部门责令停止违法行为，迅速恢复交通；实行物业管理的居住小区公共区域内，由住房城乡建设部门依据物业管理的相关规定进行处罚；其他公共场所内，由城市管理综合执法部门责令停止违法行为，恢复原状，并处500元以上1000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4" w:hRule="atLeast"/>
          <w:jc w:val="center"/>
        </w:trPr>
        <w:tc>
          <w:tcPr>
            <w:tcW w:w="2022" w:type="dxa"/>
            <w:vMerge w:val="continue"/>
            <w:tcBorders>
              <w:tl2br w:val="nil"/>
              <w:tr2bl w:val="nil"/>
            </w:tcBorders>
            <w:shd w:val="clear" w:color="auto" w:fill="auto"/>
            <w:vAlign w:val="center"/>
          </w:tcPr>
          <w:p>
            <w:pPr>
              <w:widowControl/>
              <w:snapToGrid w:val="0"/>
              <w:spacing w:line="360" w:lineRule="exact"/>
              <w:jc w:val="center"/>
              <w:textAlignment w:val="bottom"/>
              <w:rPr>
                <w:rFonts w:ascii="宋体" w:hAnsi="宋体" w:eastAsia="宋体" w:cs="宋体"/>
                <w:color w:val="000000" w:themeColor="text1"/>
                <w:szCs w:val="21"/>
              </w:rPr>
            </w:pPr>
          </w:p>
        </w:tc>
        <w:tc>
          <w:tcPr>
            <w:tcW w:w="1843" w:type="dxa"/>
            <w:tcBorders>
              <w:tl2br w:val="nil"/>
              <w:tr2bl w:val="nil"/>
            </w:tcBorders>
            <w:shd w:val="clear" w:color="auto" w:fill="auto"/>
            <w:vAlign w:val="center"/>
          </w:tcPr>
          <w:p>
            <w:pPr>
              <w:widowControl/>
              <w:snapToGrid w:val="0"/>
              <w:spacing w:line="360" w:lineRule="exact"/>
              <w:textAlignment w:val="bottom"/>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（四）擅自改变公共建筑和共用设施用途</w:t>
            </w:r>
          </w:p>
        </w:tc>
        <w:tc>
          <w:tcPr>
            <w:tcW w:w="1842" w:type="dxa"/>
            <w:tcBorders>
              <w:tl2br w:val="nil"/>
              <w:tr2bl w:val="nil"/>
            </w:tcBorders>
            <w:shd w:val="clear" w:color="auto" w:fill="auto"/>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《物业管理条例》</w:t>
            </w:r>
          </w:p>
        </w:tc>
        <w:tc>
          <w:tcPr>
            <w:tcW w:w="8505" w:type="dxa"/>
            <w:tcBorders>
              <w:tl2br w:val="nil"/>
              <w:tr2bl w:val="nil"/>
            </w:tcBorders>
            <w:shd w:val="clear" w:color="auto" w:fill="auto"/>
            <w:vAlign w:val="center"/>
          </w:tcPr>
          <w:p>
            <w:pPr>
              <w:widowControl/>
              <w:snapToGrid w:val="0"/>
              <w:spacing w:line="400" w:lineRule="exact"/>
              <w:ind w:firstLine="481" w:firstLineChars="200"/>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第四十九条</w:t>
            </w:r>
            <w:r>
              <w:rPr>
                <w:rFonts w:hint="eastAsia" w:ascii="仿宋_GB2312" w:hAnsi="仿宋" w:eastAsia="仿宋_GB2312" w:cs="仿宋"/>
                <w:color w:val="000000" w:themeColor="text1"/>
                <w:sz w:val="24"/>
              </w:rPr>
              <w:t>　物业管理区域内按照规划建设的公共建筑和共用设施，不得改变用途。</w:t>
            </w:r>
            <w:r>
              <w:rPr>
                <w:rFonts w:hint="eastAsia" w:ascii="仿宋_GB2312" w:hAnsi="仿宋" w:eastAsia="仿宋_GB2312" w:cs="仿宋"/>
                <w:color w:val="000000" w:themeColor="text1"/>
                <w:sz w:val="24"/>
              </w:rPr>
              <w:br w:type="textWrapping"/>
            </w:r>
            <w:r>
              <w:rPr>
                <w:rFonts w:hint="eastAsia" w:ascii="仿宋_GB2312" w:hAnsi="仿宋" w:eastAsia="仿宋_GB2312" w:cs="仿宋"/>
                <w:color w:val="000000" w:themeColor="text1"/>
                <w:sz w:val="24"/>
              </w:rPr>
              <w:t xml:space="preserve"> </w:t>
            </w:r>
            <w:r>
              <w:rPr>
                <w:rFonts w:ascii="仿宋_GB2312" w:hAnsi="仿宋" w:eastAsia="仿宋_GB2312" w:cs="仿宋"/>
                <w:color w:val="000000" w:themeColor="text1"/>
                <w:sz w:val="24"/>
              </w:rPr>
              <w:t xml:space="preserve">   </w:t>
            </w:r>
            <w:r>
              <w:rPr>
                <w:rFonts w:hint="eastAsia" w:ascii="仿宋_GB2312" w:hAnsi="仿宋" w:eastAsia="仿宋_GB2312" w:cs="仿宋"/>
                <w:color w:val="000000" w:themeColor="text1"/>
                <w:sz w:val="24"/>
              </w:rPr>
              <w:t>业主依法确需改变公共建筑和共用设施用途的，应当在依法办理有关手续后告知物业服务企业；物业服务企业确需改变公共建筑和共用设施用途的，应当提请业主大会讨论决定同意后，由业主依法办理有关手续。</w:t>
            </w:r>
          </w:p>
          <w:p>
            <w:pPr>
              <w:widowControl/>
              <w:snapToGrid w:val="0"/>
              <w:spacing w:line="400" w:lineRule="exact"/>
              <w:ind w:firstLine="481" w:firstLineChars="200"/>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第六十三条第一项</w:t>
            </w:r>
            <w:r>
              <w:rPr>
                <w:rFonts w:hint="eastAsia" w:ascii="仿宋_GB2312" w:hAnsi="仿宋" w:eastAsia="仿宋_GB2312" w:cs="仿宋"/>
                <w:color w:val="000000" w:themeColor="text1"/>
                <w:sz w:val="24"/>
              </w:rPr>
              <w:t>　违反本条例的规定，有下列行为之一的，由县级以上地方人民政府房地产行政主管部门责令限期改正，给予警告，并按照本条第二款的规定处以罚款；所得收益，用于物业管理区域内物业共用部位、共用设施设备的维修、养护，剩余部分按照业主大会的决定使用：</w:t>
            </w:r>
            <w:r>
              <w:rPr>
                <w:rFonts w:hint="eastAsia" w:ascii="仿宋_GB2312" w:hAnsi="仿宋" w:eastAsia="仿宋_GB2312" w:cs="仿宋"/>
                <w:color w:val="000000" w:themeColor="text1"/>
                <w:sz w:val="24"/>
              </w:rPr>
              <w:br w:type="textWrapping"/>
            </w:r>
            <w:r>
              <w:rPr>
                <w:rFonts w:hint="eastAsia" w:ascii="仿宋_GB2312" w:hAnsi="仿宋" w:eastAsia="仿宋_GB2312" w:cs="仿宋"/>
                <w:color w:val="000000" w:themeColor="text1"/>
                <w:sz w:val="24"/>
              </w:rPr>
              <w:t xml:space="preserve"> </w:t>
            </w:r>
            <w:r>
              <w:rPr>
                <w:rFonts w:ascii="仿宋_GB2312" w:hAnsi="仿宋" w:eastAsia="仿宋_GB2312" w:cs="仿宋"/>
                <w:color w:val="000000" w:themeColor="text1"/>
                <w:sz w:val="24"/>
              </w:rPr>
              <w:t xml:space="preserve">   </w:t>
            </w:r>
            <w:r>
              <w:rPr>
                <w:rFonts w:hint="eastAsia" w:ascii="仿宋_GB2312" w:hAnsi="仿宋" w:eastAsia="仿宋_GB2312" w:cs="仿宋"/>
                <w:color w:val="000000" w:themeColor="text1"/>
                <w:sz w:val="24"/>
              </w:rPr>
              <w:t>（一）擅自改变物业管理区域内按照规划建设的公共建筑和共用设施用途的。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51" w:hRule="atLeast"/>
          <w:jc w:val="center"/>
        </w:trPr>
        <w:tc>
          <w:tcPr>
            <w:tcW w:w="2022" w:type="dxa"/>
            <w:tcBorders>
              <w:tl2br w:val="nil"/>
              <w:tr2bl w:val="nil"/>
            </w:tcBorders>
            <w:shd w:val="clear" w:color="auto" w:fill="auto"/>
            <w:vAlign w:val="center"/>
          </w:tcPr>
          <w:p>
            <w:pPr>
              <w:widowControl/>
              <w:snapToGrid w:val="0"/>
              <w:spacing w:line="360" w:lineRule="exact"/>
              <w:jc w:val="center"/>
              <w:textAlignment w:val="bottom"/>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七、能源管理</w:t>
            </w:r>
          </w:p>
        </w:tc>
        <w:tc>
          <w:tcPr>
            <w:tcW w:w="1843" w:type="dxa"/>
            <w:tcBorders>
              <w:tl2br w:val="nil"/>
              <w:tr2bl w:val="nil"/>
            </w:tcBorders>
            <w:shd w:val="clear" w:color="auto" w:fill="auto"/>
            <w:vAlign w:val="center"/>
          </w:tcPr>
          <w:p>
            <w:pPr>
              <w:widowControl/>
              <w:snapToGrid w:val="0"/>
              <w:spacing w:line="360" w:lineRule="exact"/>
              <w:textAlignment w:val="bottom"/>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公共建筑室内温度控制</w:t>
            </w:r>
          </w:p>
        </w:tc>
        <w:tc>
          <w:tcPr>
            <w:tcW w:w="1842" w:type="dxa"/>
            <w:tcBorders>
              <w:tl2br w:val="nil"/>
              <w:tr2bl w:val="nil"/>
            </w:tcBorders>
            <w:shd w:val="clear" w:color="auto" w:fill="auto"/>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《北京市民用建筑节能管理办法》</w:t>
            </w:r>
          </w:p>
        </w:tc>
        <w:tc>
          <w:tcPr>
            <w:tcW w:w="8505" w:type="dxa"/>
            <w:tcBorders>
              <w:tl2br w:val="nil"/>
              <w:tr2bl w:val="nil"/>
            </w:tcBorders>
            <w:shd w:val="clear" w:color="auto" w:fill="auto"/>
            <w:vAlign w:val="center"/>
          </w:tcPr>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第三十四条</w:t>
            </w:r>
            <w:r>
              <w:rPr>
                <w:rFonts w:hint="eastAsia" w:ascii="仿宋_GB2312" w:hAnsi="仿宋" w:eastAsia="仿宋_GB2312" w:cs="仿宋"/>
                <w:color w:val="000000" w:themeColor="text1"/>
                <w:sz w:val="24"/>
              </w:rPr>
              <w:t>　使用空调采暖、制冷的公共建筑所有权人应当改进空调运行管理，充分利用自然通风，管理运行单位和使用人应当按照国家规定实行室内温度控制。</w:t>
            </w:r>
          </w:p>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第四十三条</w:t>
            </w:r>
            <w:r>
              <w:rPr>
                <w:rFonts w:hint="eastAsia" w:ascii="仿宋_GB2312" w:hAnsi="仿宋" w:eastAsia="仿宋_GB2312" w:cs="仿宋"/>
                <w:color w:val="000000" w:themeColor="text1"/>
                <w:sz w:val="24"/>
              </w:rPr>
              <w:t>　违反本办法第三十四条规定，公共建筑的运行管理单位或者使用人不按照规定执行公共建筑室内温度控制的，由住房城乡建设行政主管部门责令限期改正，逾期不改正的，处1000元以上5000元以下罚款。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2022" w:type="dxa"/>
            <w:tcBorders>
              <w:tl2br w:val="nil"/>
              <w:tr2bl w:val="nil"/>
            </w:tcBorders>
            <w:shd w:val="clear" w:color="auto" w:fill="auto"/>
            <w:vAlign w:val="center"/>
          </w:tcPr>
          <w:p>
            <w:pPr>
              <w:widowControl/>
              <w:snapToGrid w:val="0"/>
              <w:spacing w:line="360" w:lineRule="exact"/>
              <w:textAlignment w:val="bottom"/>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八、锅炉、压力容器、起重机械</w:t>
            </w:r>
          </w:p>
        </w:tc>
        <w:tc>
          <w:tcPr>
            <w:tcW w:w="1843" w:type="dxa"/>
            <w:tcBorders>
              <w:tl2br w:val="nil"/>
              <w:tr2bl w:val="nil"/>
            </w:tcBorders>
            <w:shd w:val="clear" w:color="auto" w:fill="auto"/>
            <w:vAlign w:val="center"/>
          </w:tcPr>
          <w:p>
            <w:pPr>
              <w:widowControl/>
              <w:snapToGrid w:val="0"/>
              <w:spacing w:line="360" w:lineRule="exact"/>
              <w:textAlignment w:val="bottom"/>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安装、改造、重大维修及清洗过程监督检验</w:t>
            </w:r>
          </w:p>
        </w:tc>
        <w:tc>
          <w:tcPr>
            <w:tcW w:w="1842" w:type="dxa"/>
            <w:tcBorders>
              <w:tl2br w:val="nil"/>
              <w:tr2bl w:val="nil"/>
            </w:tcBorders>
            <w:shd w:val="clear" w:color="auto" w:fill="auto"/>
            <w:vAlign w:val="center"/>
          </w:tcPr>
          <w:p>
            <w:pPr>
              <w:widowControl/>
              <w:snapToGrid w:val="0"/>
              <w:spacing w:line="360" w:lineRule="exact"/>
              <w:jc w:val="left"/>
              <w:textAlignment w:val="center"/>
              <w:rPr>
                <w:rFonts w:ascii="仿宋_GB2312" w:hAnsi="仿宋" w:eastAsia="仿宋_GB2312" w:cs="仿宋"/>
                <w:color w:val="000000" w:themeColor="text1"/>
                <w:sz w:val="24"/>
                <w:szCs w:val="21"/>
              </w:rPr>
            </w:pPr>
            <w:r>
              <w:rPr>
                <w:rFonts w:hint="eastAsia" w:ascii="仿宋_GB2312" w:hAnsi="仿宋" w:eastAsia="仿宋_GB2312" w:cs="仿宋"/>
                <w:color w:val="000000" w:themeColor="text1"/>
                <w:sz w:val="24"/>
                <w:szCs w:val="21"/>
              </w:rPr>
              <w:t>《特种设备安全监察条例》</w:t>
            </w:r>
          </w:p>
        </w:tc>
        <w:tc>
          <w:tcPr>
            <w:tcW w:w="8505" w:type="dxa"/>
            <w:tcBorders>
              <w:tl2br w:val="nil"/>
              <w:tr2bl w:val="nil"/>
            </w:tcBorders>
            <w:shd w:val="clear" w:color="auto" w:fill="auto"/>
            <w:vAlign w:val="center"/>
          </w:tcPr>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第七十九条</w:t>
            </w:r>
            <w:r>
              <w:rPr>
                <w:rFonts w:hint="eastAsia" w:ascii="仿宋_GB2312" w:hAnsi="仿宋" w:eastAsia="仿宋_GB2312" w:cs="仿宋"/>
                <w:color w:val="000000" w:themeColor="text1"/>
                <w:sz w:val="24"/>
              </w:rPr>
              <w:t>　锅炉、压力容器、压力管道元件、起重机械、大型游乐设施的制造过程和锅炉、压力容器、电梯、起重机械、客运索道、大型游乐设施的安装、改造、重大维修过程，以及锅炉清洗过程，未经国务院特种设备安全监督管理部门核准的检验检测机构按照安全技术规范的要求进行监督检验的，由特种设备安全监督管理部门责令改正，已经出厂的，没收违法生产、销售的产品，已经实施安装、改造、重大维修或者清洗的，责令限期进行监督检验，处5万元以上20万元以下罚款；有违法所得的，没收违法所得；情节严重的，撤销制造、安装、改造或者维修单位已经取得的许可，并由工商行政管理部门吊销其营业执照；触犯刑律的，对负有责任的主管人员和其他直接责任人员依照刑法关于生产、销售伪劣产品罪或者其他罪的规定，依法追究刑事责任。</w:t>
            </w:r>
          </w:p>
        </w:tc>
      </w:tr>
    </w:tbl>
    <w:p>
      <w:pPr>
        <w:snapToGrid w:val="0"/>
        <w:rPr>
          <w:color w:val="000000" w:themeColor="text1"/>
        </w:rPr>
      </w:pPr>
    </w:p>
    <w:p>
      <w:pPr>
        <w:snapToGrid w:val="0"/>
        <w:rPr>
          <w:color w:val="000000" w:themeColor="text1"/>
        </w:rPr>
      </w:pPr>
    </w:p>
    <w:tbl>
      <w:tblPr>
        <w:tblStyle w:val="26"/>
        <w:tblW w:w="1379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661"/>
        <w:gridCol w:w="1829"/>
        <w:gridCol w:w="1824"/>
        <w:gridCol w:w="84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3" w:hRule="atLeast"/>
          <w:tblHeader/>
          <w:jc w:val="center"/>
        </w:trPr>
        <w:tc>
          <w:tcPr>
            <w:tcW w:w="13798" w:type="dxa"/>
            <w:gridSpan w:val="4"/>
            <w:tcBorders>
              <w:tl2br w:val="nil"/>
              <w:tr2bl w:val="nil"/>
            </w:tcBorders>
            <w:vAlign w:val="center"/>
          </w:tcPr>
          <w:p>
            <w:pPr>
              <w:pStyle w:val="5"/>
              <w:jc w:val="center"/>
              <w:rPr>
                <w:color w:val="000000" w:themeColor="text1"/>
              </w:rPr>
            </w:pPr>
            <w:bookmarkStart w:id="176" w:name="_Toc150435298"/>
            <w:r>
              <w:rPr>
                <w:rFonts w:hint="eastAsia"/>
                <w:color w:val="000000" w:themeColor="text1"/>
              </w:rPr>
              <w:t>日常监管方面</w:t>
            </w:r>
            <w:bookmarkEnd w:id="176"/>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5" w:hRule="atLeast"/>
          <w:tblHeader/>
          <w:jc w:val="center"/>
        </w:trPr>
        <w:tc>
          <w:tcPr>
            <w:tcW w:w="1661" w:type="dxa"/>
            <w:tcBorders>
              <w:tl2br w:val="nil"/>
              <w:tr2bl w:val="nil"/>
            </w:tcBorders>
            <w:vAlign w:val="center"/>
          </w:tcPr>
          <w:p>
            <w:pPr>
              <w:pStyle w:val="47"/>
              <w:snapToGrid w:val="0"/>
              <w:spacing w:after="0" w:line="400" w:lineRule="exact"/>
              <w:ind w:left="0" w:leftChars="0" w:firstLine="0" w:firstLineChars="0"/>
              <w:jc w:val="center"/>
              <w:rPr>
                <w:rFonts w:ascii="黑体" w:hAnsi="黑体" w:eastAsia="黑体" w:cs="黑体"/>
                <w:color w:val="000000" w:themeColor="text1"/>
                <w:szCs w:val="21"/>
              </w:rPr>
            </w:pPr>
            <w:r>
              <w:rPr>
                <w:rFonts w:hint="eastAsia" w:ascii="黑体" w:hAnsi="黑体" w:eastAsia="黑体" w:cs="黑体"/>
                <w:color w:val="000000" w:themeColor="text1"/>
                <w:szCs w:val="21"/>
              </w:rPr>
              <w:t>监管内容</w:t>
            </w:r>
          </w:p>
        </w:tc>
        <w:tc>
          <w:tcPr>
            <w:tcW w:w="1829" w:type="dxa"/>
            <w:tcBorders>
              <w:tl2br w:val="nil"/>
              <w:tr2bl w:val="nil"/>
            </w:tcBorders>
            <w:vAlign w:val="center"/>
          </w:tcPr>
          <w:p>
            <w:pPr>
              <w:pStyle w:val="47"/>
              <w:snapToGrid w:val="0"/>
              <w:spacing w:after="0" w:line="400" w:lineRule="exact"/>
              <w:ind w:left="0" w:leftChars="0" w:firstLine="0" w:firstLineChars="0"/>
              <w:jc w:val="center"/>
              <w:rPr>
                <w:rFonts w:ascii="黑体" w:hAnsi="黑体" w:eastAsia="黑体" w:cs="黑体"/>
                <w:color w:val="000000" w:themeColor="text1"/>
                <w:szCs w:val="21"/>
              </w:rPr>
            </w:pPr>
            <w:r>
              <w:rPr>
                <w:rFonts w:hint="eastAsia" w:ascii="黑体" w:hAnsi="黑体" w:eastAsia="黑体" w:cs="黑体"/>
                <w:color w:val="000000" w:themeColor="text1"/>
                <w:szCs w:val="21"/>
              </w:rPr>
              <w:t>监管事项</w:t>
            </w:r>
          </w:p>
        </w:tc>
        <w:tc>
          <w:tcPr>
            <w:tcW w:w="1824" w:type="dxa"/>
            <w:tcBorders>
              <w:tl2br w:val="nil"/>
              <w:tr2bl w:val="nil"/>
            </w:tcBorders>
            <w:vAlign w:val="center"/>
          </w:tcPr>
          <w:p>
            <w:pPr>
              <w:pStyle w:val="47"/>
              <w:snapToGrid w:val="0"/>
              <w:spacing w:after="0" w:line="400" w:lineRule="exact"/>
              <w:ind w:left="0" w:leftChars="0" w:firstLine="0" w:firstLineChars="0"/>
              <w:jc w:val="center"/>
              <w:rPr>
                <w:rFonts w:ascii="黑体" w:hAnsi="黑体" w:eastAsia="黑体" w:cs="黑体"/>
                <w:color w:val="000000" w:themeColor="text1"/>
                <w:szCs w:val="21"/>
              </w:rPr>
            </w:pPr>
            <w:r>
              <w:rPr>
                <w:rFonts w:hint="eastAsia" w:ascii="黑体" w:hAnsi="黑体" w:eastAsia="黑体" w:cs="黑体"/>
                <w:color w:val="000000" w:themeColor="text1"/>
                <w:szCs w:val="21"/>
              </w:rPr>
              <w:t>监管依据</w:t>
            </w:r>
          </w:p>
        </w:tc>
        <w:tc>
          <w:tcPr>
            <w:tcW w:w="8484" w:type="dxa"/>
            <w:tcBorders>
              <w:tl2br w:val="nil"/>
              <w:tr2bl w:val="nil"/>
            </w:tcBorders>
            <w:vAlign w:val="center"/>
          </w:tcPr>
          <w:p>
            <w:pPr>
              <w:pStyle w:val="47"/>
              <w:snapToGrid w:val="0"/>
              <w:spacing w:after="0" w:line="400" w:lineRule="exact"/>
              <w:ind w:left="0" w:leftChars="0" w:firstLine="0" w:firstLineChars="0"/>
              <w:jc w:val="center"/>
              <w:rPr>
                <w:rFonts w:ascii="黑体" w:hAnsi="黑体" w:eastAsia="黑体" w:cs="黑体"/>
                <w:color w:val="000000" w:themeColor="text1"/>
                <w:kern w:val="0"/>
                <w:szCs w:val="21"/>
              </w:rPr>
            </w:pPr>
            <w:r>
              <w:rPr>
                <w:rFonts w:hint="eastAsia" w:ascii="黑体" w:hAnsi="黑体" w:eastAsia="黑体" w:cs="黑体"/>
                <w:color w:val="000000" w:themeColor="text1"/>
                <w:szCs w:val="21"/>
              </w:rPr>
              <w:t>监管规则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95" w:hRule="atLeast"/>
          <w:jc w:val="center"/>
        </w:trPr>
        <w:tc>
          <w:tcPr>
            <w:tcW w:w="1661" w:type="dxa"/>
            <w:vMerge w:val="restart"/>
            <w:tcBorders>
              <w:tl2br w:val="nil"/>
              <w:tr2bl w:val="nil"/>
            </w:tcBorders>
            <w:vAlign w:val="center"/>
          </w:tcPr>
          <w:p>
            <w:pPr>
              <w:widowControl/>
              <w:snapToGrid w:val="0"/>
              <w:spacing w:line="400" w:lineRule="exact"/>
              <w:jc w:val="center"/>
              <w:textAlignment w:val="bottom"/>
              <w:rPr>
                <w:rFonts w:ascii="仿宋_GB2312" w:hAnsi="宋体" w:eastAsia="仿宋_GB2312" w:cs="宋体"/>
                <w:color w:val="000000" w:themeColor="text1"/>
                <w:sz w:val="24"/>
              </w:rPr>
            </w:pPr>
            <w:r>
              <w:rPr>
                <w:rFonts w:hint="eastAsia" w:ascii="仿宋_GB2312" w:hAnsi="宋体" w:eastAsia="仿宋_GB2312" w:cs="宋体"/>
                <w:color w:val="000000" w:themeColor="text1"/>
                <w:sz w:val="24"/>
              </w:rPr>
              <w:t>一、宣传品管理</w:t>
            </w:r>
          </w:p>
        </w:tc>
        <w:tc>
          <w:tcPr>
            <w:tcW w:w="1829" w:type="dxa"/>
            <w:tcBorders>
              <w:tl2br w:val="nil"/>
              <w:tr2bl w:val="nil"/>
            </w:tcBorders>
            <w:vAlign w:val="center"/>
          </w:tcPr>
          <w:p>
            <w:pPr>
              <w:widowControl/>
              <w:snapToGrid w:val="0"/>
              <w:spacing w:line="400" w:lineRule="exact"/>
              <w:textAlignment w:val="center"/>
              <w:rPr>
                <w:rFonts w:ascii="仿宋_GB2312" w:hAnsi="宋体" w:eastAsia="仿宋_GB2312" w:cs="宋体"/>
                <w:color w:val="000000" w:themeColor="text1"/>
                <w:sz w:val="24"/>
              </w:rPr>
            </w:pPr>
            <w:r>
              <w:rPr>
                <w:rFonts w:hint="eastAsia" w:ascii="仿宋_GB2312" w:hAnsi="宋体" w:eastAsia="仿宋_GB2312" w:cs="宋体"/>
                <w:color w:val="000000" w:themeColor="text1"/>
                <w:sz w:val="24"/>
              </w:rPr>
              <w:t>（一）宣传标语</w:t>
            </w:r>
          </w:p>
        </w:tc>
        <w:tc>
          <w:tcPr>
            <w:tcW w:w="1824" w:type="dxa"/>
            <w:tcBorders>
              <w:tl2br w:val="nil"/>
              <w:tr2bl w:val="nil"/>
            </w:tcBorders>
            <w:shd w:val="clear" w:color="auto" w:fill="auto"/>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《北京市标语宣传品设置管理规》</w:t>
            </w:r>
          </w:p>
        </w:tc>
        <w:tc>
          <w:tcPr>
            <w:tcW w:w="8484" w:type="dxa"/>
            <w:tcBorders>
              <w:tl2br w:val="nil"/>
              <w:tr2bl w:val="nil"/>
            </w:tcBorders>
            <w:vAlign w:val="center"/>
          </w:tcPr>
          <w:p>
            <w:pPr>
              <w:widowControl/>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第四条</w:t>
            </w:r>
            <w:r>
              <w:rPr>
                <w:rFonts w:hint="eastAsia" w:ascii="仿宋_GB2312" w:hAnsi="仿宋" w:eastAsia="仿宋_GB2312" w:cs="仿宋"/>
                <w:color w:val="000000" w:themeColor="text1"/>
                <w:sz w:val="24"/>
              </w:rPr>
              <w:t>标语宣传品不得有商业广告内容。禁止改变固定宣传设施的使用性质用于商业广告。</w:t>
            </w:r>
          </w:p>
          <w:p>
            <w:pPr>
              <w:widowControl/>
              <w:snapToGrid w:val="0"/>
              <w:spacing w:line="400" w:lineRule="exact"/>
              <w:ind w:firstLine="481" w:firstLineChars="200"/>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第十五条第二款</w:t>
            </w:r>
            <w:r>
              <w:rPr>
                <w:rFonts w:hint="eastAsia" w:ascii="仿宋_GB2312" w:hAnsi="仿宋" w:eastAsia="仿宋_GB2312" w:cs="仿宋"/>
                <w:color w:val="000000" w:themeColor="text1"/>
                <w:kern w:val="0"/>
                <w:sz w:val="24"/>
              </w:rPr>
              <w:t>设置期限届满或者节日、活动结束后，应当及时撤除标语宣传品。</w:t>
            </w:r>
          </w:p>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第十八条</w:t>
            </w:r>
            <w:r>
              <w:rPr>
                <w:rFonts w:hint="eastAsia" w:ascii="仿宋_GB2312" w:hAnsi="仿宋" w:eastAsia="仿宋_GB2312" w:cs="仿宋"/>
                <w:color w:val="000000" w:themeColor="text1"/>
                <w:sz w:val="24"/>
              </w:rPr>
              <w:t>违反本规定第四条规定，标语宣传品含有商业广告内容或者改变固定宣传设施的使用性质用于商业广告的，由城市管理综合执法部门责令改正，处1000元以上1万元以下罚款。</w:t>
            </w:r>
          </w:p>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kern w:val="0"/>
                <w:sz w:val="24"/>
              </w:rPr>
              <w:t>第二十条第一款</w:t>
            </w:r>
            <w:r>
              <w:rPr>
                <w:rFonts w:hint="eastAsia" w:ascii="仿宋_GB2312" w:hAnsi="仿宋" w:eastAsia="仿宋_GB2312" w:cs="仿宋"/>
                <w:color w:val="000000" w:themeColor="text1"/>
                <w:kern w:val="0"/>
                <w:sz w:val="24"/>
              </w:rPr>
              <w:t>违反本规定第十五条规定，宣传设施不安全、不牢固，标语宣传品破损、残缺、不整洁美观，设置期限届满或者节日、活动结束后不及时撤除的，由城市管理综合执法部门责令限期改正，可处100元以上1000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8" w:hRule="atLeast"/>
          <w:jc w:val="center"/>
        </w:trPr>
        <w:tc>
          <w:tcPr>
            <w:tcW w:w="1661" w:type="dxa"/>
            <w:vMerge w:val="continue"/>
            <w:tcBorders>
              <w:tl2br w:val="nil"/>
              <w:tr2bl w:val="nil"/>
            </w:tcBorders>
            <w:vAlign w:val="center"/>
          </w:tcPr>
          <w:p>
            <w:pPr>
              <w:snapToGrid w:val="0"/>
              <w:spacing w:line="400" w:lineRule="exact"/>
              <w:jc w:val="center"/>
              <w:rPr>
                <w:rFonts w:ascii="仿宋_GB2312" w:hAnsi="宋体" w:eastAsia="仿宋_GB2312" w:cs="宋体"/>
                <w:color w:val="000000" w:themeColor="text1"/>
                <w:sz w:val="24"/>
              </w:rPr>
            </w:pPr>
          </w:p>
        </w:tc>
        <w:tc>
          <w:tcPr>
            <w:tcW w:w="1829" w:type="dxa"/>
            <w:tcBorders>
              <w:tl2br w:val="nil"/>
              <w:tr2bl w:val="nil"/>
            </w:tcBorders>
            <w:vAlign w:val="center"/>
          </w:tcPr>
          <w:p>
            <w:pPr>
              <w:widowControl/>
              <w:snapToGrid w:val="0"/>
              <w:spacing w:line="400" w:lineRule="exact"/>
              <w:textAlignment w:val="center"/>
              <w:rPr>
                <w:rFonts w:ascii="仿宋_GB2312" w:hAnsi="宋体" w:eastAsia="仿宋_GB2312" w:cs="宋体"/>
                <w:color w:val="000000" w:themeColor="text1"/>
                <w:sz w:val="24"/>
              </w:rPr>
            </w:pPr>
            <w:r>
              <w:rPr>
                <w:rFonts w:hint="eastAsia" w:ascii="仿宋_GB2312" w:hAnsi="宋体" w:eastAsia="仿宋_GB2312" w:cs="宋体"/>
                <w:color w:val="000000" w:themeColor="text1"/>
                <w:sz w:val="24"/>
              </w:rPr>
              <w:t>（二）未及时撤除标语宣传品的行为</w:t>
            </w:r>
          </w:p>
        </w:tc>
        <w:tc>
          <w:tcPr>
            <w:tcW w:w="1824" w:type="dxa"/>
            <w:tcBorders>
              <w:tl2br w:val="nil"/>
              <w:tr2bl w:val="nil"/>
            </w:tcBorders>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《北京市标语宣传品设置管理规定》</w:t>
            </w:r>
          </w:p>
        </w:tc>
        <w:tc>
          <w:tcPr>
            <w:tcW w:w="8484" w:type="dxa"/>
            <w:tcBorders>
              <w:tl2br w:val="nil"/>
              <w:tr2bl w:val="nil"/>
            </w:tcBorders>
            <w:vAlign w:val="center"/>
          </w:tcPr>
          <w:p>
            <w:pPr>
              <w:widowControl/>
              <w:snapToGrid w:val="0"/>
              <w:spacing w:line="400" w:lineRule="exact"/>
              <w:ind w:firstLine="481" w:firstLineChars="200"/>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第二十条第一款</w:t>
            </w:r>
            <w:r>
              <w:rPr>
                <w:rFonts w:hint="eastAsia" w:ascii="仿宋_GB2312" w:hAnsi="仿宋" w:eastAsia="仿宋_GB2312" w:cs="仿宋"/>
                <w:color w:val="000000" w:themeColor="text1"/>
                <w:kern w:val="0"/>
                <w:sz w:val="24"/>
              </w:rPr>
              <w:t>违反本规定第十五条规定，宣传设施不安全、不牢固，标语宣传品破损、残缺、不整洁美观，设置期限届满或者节日、活动结束后不及时撤除的，由城市管理综合执法部门责令限期改正，可处100元以上1000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23" w:hRule="atLeast"/>
          <w:jc w:val="center"/>
        </w:trPr>
        <w:tc>
          <w:tcPr>
            <w:tcW w:w="1661" w:type="dxa"/>
            <w:vMerge w:val="restart"/>
            <w:tcBorders>
              <w:tl2br w:val="nil"/>
              <w:tr2bl w:val="nil"/>
            </w:tcBorders>
            <w:vAlign w:val="center"/>
          </w:tcPr>
          <w:p>
            <w:pPr>
              <w:widowControl/>
              <w:snapToGrid w:val="0"/>
              <w:spacing w:line="400" w:lineRule="exact"/>
              <w:jc w:val="center"/>
              <w:textAlignment w:val="bottom"/>
              <w:rPr>
                <w:rFonts w:ascii="仿宋_GB2312" w:hAnsi="宋体" w:eastAsia="仿宋_GB2312" w:cs="宋体"/>
                <w:color w:val="000000" w:themeColor="text1"/>
                <w:sz w:val="24"/>
              </w:rPr>
            </w:pPr>
            <w:r>
              <w:rPr>
                <w:rFonts w:hint="eastAsia" w:ascii="仿宋_GB2312" w:hAnsi="宋体" w:eastAsia="仿宋_GB2312" w:cs="宋体"/>
                <w:color w:val="000000" w:themeColor="text1"/>
                <w:sz w:val="24"/>
              </w:rPr>
              <w:t>二、公示、告知</w:t>
            </w:r>
          </w:p>
        </w:tc>
        <w:tc>
          <w:tcPr>
            <w:tcW w:w="1829" w:type="dxa"/>
            <w:tcBorders>
              <w:tl2br w:val="nil"/>
              <w:tr2bl w:val="nil"/>
            </w:tcBorders>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（一）告知安全及注意事项</w:t>
            </w:r>
          </w:p>
        </w:tc>
        <w:tc>
          <w:tcPr>
            <w:tcW w:w="1824" w:type="dxa"/>
            <w:tcBorders>
              <w:tl2br w:val="nil"/>
              <w:tr2bl w:val="nil"/>
            </w:tcBorders>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《北京市物业管理条例》</w:t>
            </w:r>
          </w:p>
        </w:tc>
        <w:tc>
          <w:tcPr>
            <w:tcW w:w="8484" w:type="dxa"/>
            <w:tcBorders>
              <w:tl2br w:val="nil"/>
              <w:tr2bl w:val="nil"/>
            </w:tcBorders>
            <w:vAlign w:val="center"/>
          </w:tcPr>
          <w:p>
            <w:pPr>
              <w:widowControl/>
              <w:snapToGrid w:val="0"/>
              <w:spacing w:line="400" w:lineRule="exact"/>
              <w:ind w:firstLine="481" w:firstLineChars="200"/>
              <w:jc w:val="left"/>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第六十五条第二款</w:t>
            </w:r>
            <w:r>
              <w:rPr>
                <w:rFonts w:hint="eastAsia" w:ascii="仿宋_GB2312" w:hAnsi="仿宋" w:eastAsia="仿宋_GB2312" w:cs="仿宋"/>
                <w:color w:val="000000" w:themeColor="text1"/>
                <w:sz w:val="24"/>
              </w:rPr>
              <w:t>及时向业主、物业使用人告知安全、合理使用物业的注意事项。</w:t>
            </w:r>
          </w:p>
          <w:p>
            <w:pPr>
              <w:widowControl/>
              <w:snapToGrid w:val="0"/>
              <w:spacing w:line="400" w:lineRule="exact"/>
              <w:ind w:firstLine="481" w:firstLineChars="200"/>
              <w:jc w:val="left"/>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第九十二条</w:t>
            </w:r>
            <w:r>
              <w:rPr>
                <w:rFonts w:hint="eastAsia" w:ascii="仿宋_GB2312" w:hAnsi="仿宋" w:eastAsia="仿宋_GB2312" w:cs="仿宋"/>
                <w:color w:val="000000" w:themeColor="text1"/>
                <w:sz w:val="24"/>
              </w:rPr>
              <w:t>违反本条例第六十五条第（一）项至第（六）项规定，物业服务人提供服务未遵守相关规定的，由区住房和城乡建设或者房屋主管部门给予警告，处五千元以上一万元以下的罚款。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38" w:hRule="atLeast"/>
          <w:jc w:val="center"/>
        </w:trPr>
        <w:tc>
          <w:tcPr>
            <w:tcW w:w="1661" w:type="dxa"/>
            <w:vMerge w:val="continue"/>
            <w:tcBorders>
              <w:tl2br w:val="nil"/>
              <w:tr2bl w:val="nil"/>
            </w:tcBorders>
            <w:vAlign w:val="center"/>
          </w:tcPr>
          <w:p>
            <w:pPr>
              <w:snapToGrid w:val="0"/>
              <w:spacing w:line="400" w:lineRule="exact"/>
              <w:jc w:val="center"/>
              <w:rPr>
                <w:rFonts w:ascii="仿宋_GB2312" w:hAnsi="宋体" w:eastAsia="仿宋_GB2312" w:cs="宋体"/>
                <w:color w:val="000000" w:themeColor="text1"/>
                <w:sz w:val="24"/>
              </w:rPr>
            </w:pPr>
          </w:p>
        </w:tc>
        <w:tc>
          <w:tcPr>
            <w:tcW w:w="1829" w:type="dxa"/>
            <w:tcBorders>
              <w:tl2br w:val="nil"/>
              <w:tr2bl w:val="nil"/>
            </w:tcBorders>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（二）信息公示</w:t>
            </w:r>
          </w:p>
        </w:tc>
        <w:tc>
          <w:tcPr>
            <w:tcW w:w="1824" w:type="dxa"/>
            <w:tcBorders>
              <w:tl2br w:val="nil"/>
              <w:tr2bl w:val="nil"/>
            </w:tcBorders>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《北京市物业管理条例》</w:t>
            </w:r>
          </w:p>
        </w:tc>
        <w:tc>
          <w:tcPr>
            <w:tcW w:w="8484" w:type="dxa"/>
            <w:tcBorders>
              <w:tl2br w:val="nil"/>
              <w:tr2bl w:val="nil"/>
            </w:tcBorders>
            <w:vAlign w:val="center"/>
          </w:tcPr>
          <w:p>
            <w:pPr>
              <w:widowControl/>
              <w:snapToGrid w:val="0"/>
              <w:spacing w:line="400" w:lineRule="exact"/>
              <w:ind w:firstLine="481" w:firstLineChars="200"/>
              <w:jc w:val="left"/>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第七十条</w:t>
            </w:r>
            <w:r>
              <w:rPr>
                <w:rFonts w:hint="eastAsia" w:ascii="仿宋_GB2312" w:hAnsi="仿宋" w:eastAsia="仿宋_GB2312" w:cs="仿宋"/>
                <w:color w:val="000000" w:themeColor="text1"/>
                <w:sz w:val="24"/>
              </w:rPr>
              <w:t>　物业服务人应当在物业管理区域内显著位置设置公示栏，如实公示、及时更新下列信息，并且可以通过互联网方式告知全体业主：</w:t>
            </w:r>
          </w:p>
          <w:p>
            <w:pPr>
              <w:widowControl/>
              <w:snapToGrid w:val="0"/>
              <w:spacing w:line="400" w:lineRule="exact"/>
              <w:ind w:firstLine="480" w:firstLineChars="200"/>
              <w:jc w:val="left"/>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（一）物业服务企业的营业执照、项目负责人的基本情况、联系方式以及物业服务投诉电话；</w:t>
            </w:r>
          </w:p>
          <w:p>
            <w:pPr>
              <w:widowControl/>
              <w:snapToGrid w:val="0"/>
              <w:spacing w:line="400" w:lineRule="exact"/>
              <w:ind w:firstLine="480" w:firstLineChars="200"/>
              <w:jc w:val="left"/>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（二）物业服务内容和标准、收费标准和方式等；</w:t>
            </w:r>
          </w:p>
          <w:p>
            <w:pPr>
              <w:widowControl/>
              <w:snapToGrid w:val="0"/>
              <w:spacing w:line="400" w:lineRule="exact"/>
              <w:ind w:firstLine="480" w:firstLineChars="200"/>
              <w:jc w:val="left"/>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（三）电梯、消防等具有专业技术要求的设施设备的日常维修保养单位名称、资质、联系方式、维保方案和应急处置方案等；</w:t>
            </w:r>
          </w:p>
          <w:p>
            <w:pPr>
              <w:widowControl/>
              <w:snapToGrid w:val="0"/>
              <w:spacing w:line="400" w:lineRule="exact"/>
              <w:ind w:firstLine="480" w:firstLineChars="200"/>
              <w:jc w:val="left"/>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（四）上一年度物业服务合同履行及物业服务项目收支情况、本年度物业服务项目收支预算；</w:t>
            </w:r>
          </w:p>
          <w:p>
            <w:pPr>
              <w:widowControl/>
              <w:snapToGrid w:val="0"/>
              <w:spacing w:line="400" w:lineRule="exact"/>
              <w:ind w:firstLine="480" w:firstLineChars="200"/>
              <w:jc w:val="left"/>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（五）上一年度公共水电费用分摊情况、物业费、公共收益收支与专项维修资金使用情况。</w:t>
            </w:r>
          </w:p>
          <w:p>
            <w:pPr>
              <w:widowControl/>
              <w:snapToGrid w:val="0"/>
              <w:spacing w:line="400" w:lineRule="exact"/>
              <w:ind w:firstLine="480" w:firstLineChars="200"/>
              <w:jc w:val="left"/>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（六）业主进行房屋装饰装修活动的情况；</w:t>
            </w:r>
          </w:p>
          <w:p>
            <w:pPr>
              <w:widowControl/>
              <w:snapToGrid w:val="0"/>
              <w:spacing w:line="400" w:lineRule="exact"/>
              <w:ind w:firstLine="480" w:firstLineChars="200"/>
              <w:jc w:val="left"/>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（七）物业管理区域内车位、车库的出售和出租情况；</w:t>
            </w:r>
          </w:p>
          <w:p>
            <w:pPr>
              <w:widowControl/>
              <w:snapToGrid w:val="0"/>
              <w:spacing w:line="400" w:lineRule="exact"/>
              <w:ind w:firstLine="480" w:firstLineChars="200"/>
              <w:jc w:val="left"/>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（八）其他应当公示的信息。业主对公示内容提出异议的，物业服务人应当予以答复。</w:t>
            </w:r>
          </w:p>
          <w:p>
            <w:pPr>
              <w:widowControl/>
              <w:snapToGrid w:val="0"/>
              <w:spacing w:line="400" w:lineRule="exact"/>
              <w:ind w:firstLine="481" w:firstLineChars="200"/>
              <w:jc w:val="left"/>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第九十四条</w:t>
            </w:r>
            <w:r>
              <w:rPr>
                <w:rFonts w:hint="eastAsia" w:ascii="仿宋_GB2312" w:hAnsi="仿宋" w:eastAsia="仿宋_GB2312" w:cs="仿宋"/>
                <w:color w:val="000000" w:themeColor="text1"/>
                <w:sz w:val="24"/>
              </w:rPr>
              <w:t>　违反本条例第七十条规定，物业服务人未按照规定如实公示有关信息的，由区住房和城乡建设或者房屋主管部门责令限期改正，给予警告；逾期不改的，处一千元以上五千元以下的罚款。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18" w:hRule="atLeast"/>
          <w:jc w:val="center"/>
        </w:trPr>
        <w:tc>
          <w:tcPr>
            <w:tcW w:w="1661" w:type="dxa"/>
            <w:vMerge w:val="restart"/>
            <w:tcBorders>
              <w:tl2br w:val="nil"/>
              <w:tr2bl w:val="nil"/>
            </w:tcBorders>
            <w:vAlign w:val="center"/>
          </w:tcPr>
          <w:p>
            <w:pPr>
              <w:widowControl/>
              <w:snapToGrid w:val="0"/>
              <w:spacing w:line="400" w:lineRule="exact"/>
              <w:jc w:val="center"/>
              <w:textAlignment w:val="bottom"/>
              <w:rPr>
                <w:rFonts w:ascii="仿宋_GB2312" w:hAnsi="宋体" w:eastAsia="仿宋_GB2312" w:cs="宋体"/>
                <w:color w:val="000000" w:themeColor="text1"/>
                <w:sz w:val="24"/>
              </w:rPr>
            </w:pPr>
            <w:r>
              <w:rPr>
                <w:rFonts w:hint="eastAsia" w:ascii="仿宋_GB2312" w:hAnsi="宋体" w:eastAsia="仿宋_GB2312" w:cs="宋体"/>
                <w:color w:val="000000" w:themeColor="text1"/>
                <w:sz w:val="24"/>
              </w:rPr>
              <w:t>三、保密工作</w:t>
            </w:r>
          </w:p>
        </w:tc>
        <w:tc>
          <w:tcPr>
            <w:tcW w:w="1829" w:type="dxa"/>
            <w:vMerge w:val="restart"/>
            <w:tcBorders>
              <w:tl2br w:val="nil"/>
              <w:tr2bl w:val="nil"/>
            </w:tcBorders>
            <w:vAlign w:val="center"/>
          </w:tcPr>
          <w:p>
            <w:pPr>
              <w:widowControl/>
              <w:snapToGrid w:val="0"/>
              <w:spacing w:line="400" w:lineRule="exact"/>
              <w:jc w:val="center"/>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业主信息</w:t>
            </w:r>
          </w:p>
        </w:tc>
        <w:tc>
          <w:tcPr>
            <w:tcW w:w="1824" w:type="dxa"/>
            <w:tcBorders>
              <w:tl2br w:val="nil"/>
              <w:tr2bl w:val="nil"/>
            </w:tcBorders>
            <w:vAlign w:val="center"/>
          </w:tcPr>
          <w:p>
            <w:pPr>
              <w:widowControl/>
              <w:snapToGrid w:val="0"/>
              <w:spacing w:line="400" w:lineRule="exact"/>
              <w:jc w:val="center"/>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《刑法》</w:t>
            </w:r>
          </w:p>
        </w:tc>
        <w:tc>
          <w:tcPr>
            <w:tcW w:w="8484" w:type="dxa"/>
            <w:tcBorders>
              <w:tl2br w:val="nil"/>
              <w:tr2bl w:val="nil"/>
            </w:tcBorders>
            <w:vAlign w:val="center"/>
          </w:tcPr>
          <w:p>
            <w:pPr>
              <w:widowControl/>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第二百五十三条</w:t>
            </w:r>
            <w:r>
              <w:rPr>
                <w:rFonts w:hint="eastAsia" w:ascii="仿宋_GB2312" w:hAnsi="仿宋" w:eastAsia="仿宋_GB2312" w:cs="仿宋"/>
                <w:color w:val="000000" w:themeColor="text1"/>
                <w:sz w:val="24"/>
              </w:rPr>
              <w:t>　违反国家有关规定，向他人出售或者提供公民个人信息，情节严重的，处三年以下有期徒刑或者拘役，并处或者单处罚金，情节特别严重的，处三年以上七年以下有期徒刑，并处罚金。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43" w:hRule="atLeast"/>
          <w:jc w:val="center"/>
        </w:trPr>
        <w:tc>
          <w:tcPr>
            <w:tcW w:w="1661" w:type="dxa"/>
            <w:vMerge w:val="continue"/>
            <w:tcBorders>
              <w:tl2br w:val="nil"/>
              <w:tr2bl w:val="nil"/>
            </w:tcBorders>
            <w:vAlign w:val="center"/>
          </w:tcPr>
          <w:p>
            <w:pPr>
              <w:widowControl/>
              <w:snapToGrid w:val="0"/>
              <w:spacing w:line="400" w:lineRule="exact"/>
              <w:jc w:val="left"/>
              <w:textAlignment w:val="center"/>
              <w:rPr>
                <w:rFonts w:ascii="仿宋_GB2312" w:eastAsia="仿宋_GB2312"/>
                <w:color w:val="000000" w:themeColor="text1"/>
                <w:sz w:val="24"/>
              </w:rPr>
            </w:pPr>
          </w:p>
        </w:tc>
        <w:tc>
          <w:tcPr>
            <w:tcW w:w="1829" w:type="dxa"/>
            <w:vMerge w:val="continue"/>
            <w:tcBorders>
              <w:tl2br w:val="nil"/>
              <w:tr2bl w:val="nil"/>
            </w:tcBorders>
            <w:vAlign w:val="center"/>
          </w:tcPr>
          <w:p>
            <w:pPr>
              <w:widowControl/>
              <w:snapToGrid w:val="0"/>
              <w:spacing w:line="400" w:lineRule="exact"/>
              <w:jc w:val="left"/>
              <w:textAlignment w:val="center"/>
              <w:rPr>
                <w:rFonts w:ascii="仿宋_GB2312" w:eastAsia="仿宋_GB2312"/>
                <w:color w:val="000000" w:themeColor="text1"/>
                <w:sz w:val="24"/>
              </w:rPr>
            </w:pPr>
          </w:p>
        </w:tc>
        <w:tc>
          <w:tcPr>
            <w:tcW w:w="1824" w:type="dxa"/>
            <w:tcBorders>
              <w:tl2br w:val="nil"/>
              <w:tr2bl w:val="nil"/>
            </w:tcBorders>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《中华人民共和国居民身份证法》</w:t>
            </w:r>
          </w:p>
        </w:tc>
        <w:tc>
          <w:tcPr>
            <w:tcW w:w="8484" w:type="dxa"/>
            <w:tcBorders>
              <w:tl2br w:val="nil"/>
              <w:tr2bl w:val="nil"/>
            </w:tcBorders>
            <w:vAlign w:val="center"/>
          </w:tcPr>
          <w:p>
            <w:pPr>
              <w:widowControl/>
              <w:snapToGrid w:val="0"/>
              <w:ind w:firstLine="160" w:firstLineChars="200"/>
              <w:jc w:val="left"/>
              <w:textAlignment w:val="center"/>
              <w:rPr>
                <w:rFonts w:ascii="仿宋_GB2312" w:hAnsi="仿宋" w:eastAsia="仿宋_GB2312" w:cs="仿宋"/>
                <w:b/>
                <w:bCs/>
                <w:color w:val="000000" w:themeColor="text1"/>
                <w:sz w:val="8"/>
              </w:rPr>
            </w:pPr>
          </w:p>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第十九条</w:t>
            </w:r>
            <w:r>
              <w:rPr>
                <w:rFonts w:hint="eastAsia" w:ascii="仿宋_GB2312" w:hAnsi="仿宋" w:eastAsia="仿宋_GB2312" w:cs="仿宋"/>
                <w:color w:val="000000" w:themeColor="text1"/>
                <w:sz w:val="24"/>
              </w:rPr>
              <w:t>　国家机关或者金融、电信、交通、教育、医疗等单位的工作人员泄露在履行职责或者提供服务过程中获得的居民身份证记载的公民个人信息，构成犯罪的，依法追究刑事责任；尚不构成犯罪的，由公安机关处十日以上十五日以下拘留，并处五千元罚款，有违法所得的，没收违法所得。</w:t>
            </w:r>
          </w:p>
          <w:p>
            <w:pPr>
              <w:widowControl/>
              <w:snapToGrid w:val="0"/>
              <w:ind w:firstLine="260" w:firstLineChars="200"/>
              <w:jc w:val="left"/>
              <w:textAlignment w:val="center"/>
              <w:rPr>
                <w:color w:val="000000" w:themeColor="text1"/>
                <w:sz w:val="13"/>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97" w:hRule="atLeast"/>
          <w:jc w:val="center"/>
        </w:trPr>
        <w:tc>
          <w:tcPr>
            <w:tcW w:w="1661" w:type="dxa"/>
            <w:vMerge w:val="restart"/>
            <w:tcBorders>
              <w:tl2br w:val="nil"/>
              <w:tr2bl w:val="nil"/>
            </w:tcBorders>
            <w:vAlign w:val="center"/>
          </w:tcPr>
          <w:p>
            <w:pPr>
              <w:widowControl/>
              <w:snapToGrid w:val="0"/>
              <w:spacing w:line="400" w:lineRule="exact"/>
              <w:jc w:val="left"/>
              <w:textAlignment w:val="bottom"/>
              <w:rPr>
                <w:rFonts w:ascii="仿宋_GB2312" w:hAnsi="宋体" w:eastAsia="仿宋_GB2312" w:cs="宋体"/>
                <w:color w:val="000000" w:themeColor="text1"/>
                <w:sz w:val="24"/>
              </w:rPr>
            </w:pPr>
            <w:r>
              <w:rPr>
                <w:rFonts w:hint="eastAsia" w:ascii="仿宋_GB2312" w:hAnsi="宋体" w:eastAsia="仿宋_GB2312" w:cs="宋体"/>
                <w:color w:val="000000" w:themeColor="text1"/>
                <w:sz w:val="24"/>
              </w:rPr>
              <w:t>四、物业服务管理</w:t>
            </w:r>
          </w:p>
        </w:tc>
        <w:tc>
          <w:tcPr>
            <w:tcW w:w="1829" w:type="dxa"/>
            <w:tcBorders>
              <w:tl2br w:val="nil"/>
              <w:tr2bl w:val="nil"/>
            </w:tcBorders>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（一）依约提供物业服务</w:t>
            </w:r>
          </w:p>
        </w:tc>
        <w:tc>
          <w:tcPr>
            <w:tcW w:w="1824" w:type="dxa"/>
            <w:tcBorders>
              <w:tl2br w:val="nil"/>
              <w:tr2bl w:val="nil"/>
            </w:tcBorders>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《北京市物业管理条例》</w:t>
            </w:r>
          </w:p>
        </w:tc>
        <w:tc>
          <w:tcPr>
            <w:tcW w:w="8484" w:type="dxa"/>
            <w:tcBorders>
              <w:tl2br w:val="nil"/>
              <w:tr2bl w:val="nil"/>
            </w:tcBorders>
            <w:vAlign w:val="center"/>
          </w:tcPr>
          <w:p>
            <w:pPr>
              <w:widowControl/>
              <w:snapToGrid w:val="0"/>
              <w:spacing w:line="400" w:lineRule="exact"/>
              <w:ind w:firstLine="481" w:firstLineChars="200"/>
              <w:jc w:val="left"/>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第六十五条</w:t>
            </w:r>
            <w:r>
              <w:rPr>
                <w:rFonts w:hint="eastAsia" w:ascii="仿宋_GB2312" w:hAnsi="仿宋" w:eastAsia="仿宋_GB2312" w:cs="仿宋"/>
                <w:color w:val="000000" w:themeColor="text1"/>
                <w:sz w:val="24"/>
              </w:rPr>
              <w:t>　物业服务人应当按照物业服务合同的约定提供物业服务，并且遵守下列规定：（一）提供物业服务符合国家和本市规定的标准、规范。</w:t>
            </w:r>
          </w:p>
          <w:p>
            <w:pPr>
              <w:widowControl/>
              <w:snapToGrid w:val="0"/>
              <w:spacing w:line="400" w:lineRule="exact"/>
              <w:ind w:firstLine="481" w:firstLineChars="200"/>
              <w:jc w:val="left"/>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第九十二条</w:t>
            </w:r>
            <w:r>
              <w:rPr>
                <w:rFonts w:hint="eastAsia" w:ascii="仿宋_GB2312" w:hAnsi="仿宋" w:eastAsia="仿宋_GB2312" w:cs="仿宋"/>
                <w:color w:val="000000" w:themeColor="text1"/>
                <w:sz w:val="24"/>
              </w:rPr>
              <w:t>　违反本条例第六十五条第（一）项至第（六）项规定，物业服务人提供服务未遵守相关规定的，由区住房和城乡建设或者房屋主管部门给予警告，处五千元以上一万元以下的罚款。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8" w:hRule="atLeast"/>
          <w:jc w:val="center"/>
        </w:trPr>
        <w:tc>
          <w:tcPr>
            <w:tcW w:w="1661" w:type="dxa"/>
            <w:vMerge w:val="continue"/>
            <w:tcBorders>
              <w:tl2br w:val="nil"/>
              <w:tr2bl w:val="nil"/>
            </w:tcBorders>
            <w:vAlign w:val="center"/>
          </w:tcPr>
          <w:p>
            <w:pPr>
              <w:snapToGrid w:val="0"/>
              <w:spacing w:line="400" w:lineRule="exact"/>
              <w:jc w:val="center"/>
              <w:rPr>
                <w:rFonts w:ascii="仿宋_GB2312" w:hAnsi="宋体" w:eastAsia="仿宋_GB2312" w:cs="宋体"/>
                <w:color w:val="000000" w:themeColor="text1"/>
                <w:sz w:val="24"/>
              </w:rPr>
            </w:pPr>
          </w:p>
        </w:tc>
        <w:tc>
          <w:tcPr>
            <w:tcW w:w="1829" w:type="dxa"/>
            <w:tcBorders>
              <w:tl2br w:val="nil"/>
              <w:tr2bl w:val="nil"/>
            </w:tcBorders>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（二）档案管理、建立</w:t>
            </w:r>
          </w:p>
        </w:tc>
        <w:tc>
          <w:tcPr>
            <w:tcW w:w="1824" w:type="dxa"/>
            <w:tcBorders>
              <w:tl2br w:val="nil"/>
              <w:tr2bl w:val="nil"/>
            </w:tcBorders>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《北京市物业管理条例》</w:t>
            </w:r>
          </w:p>
        </w:tc>
        <w:tc>
          <w:tcPr>
            <w:tcW w:w="8484" w:type="dxa"/>
            <w:tcBorders>
              <w:tl2br w:val="nil"/>
              <w:tr2bl w:val="nil"/>
            </w:tcBorders>
            <w:vAlign w:val="center"/>
          </w:tcPr>
          <w:p>
            <w:pPr>
              <w:widowControl/>
              <w:snapToGrid w:val="0"/>
              <w:spacing w:line="400" w:lineRule="exact"/>
              <w:ind w:firstLine="481" w:firstLineChars="200"/>
              <w:jc w:val="left"/>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第七十一条</w:t>
            </w:r>
            <w:r>
              <w:rPr>
                <w:rFonts w:hint="eastAsia" w:ascii="仿宋_GB2312" w:hAnsi="仿宋" w:eastAsia="仿宋_GB2312" w:cs="仿宋"/>
                <w:color w:val="000000" w:themeColor="text1"/>
                <w:sz w:val="24"/>
              </w:rPr>
              <w:t>　物业服务人应当建立、保存下列档案和资料：</w:t>
            </w:r>
          </w:p>
          <w:p>
            <w:pPr>
              <w:widowControl/>
              <w:snapToGrid w:val="0"/>
              <w:spacing w:line="400" w:lineRule="exact"/>
              <w:ind w:firstLine="480" w:firstLineChars="200"/>
              <w:jc w:val="left"/>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（一）小区共有部分经营管理档案；</w:t>
            </w:r>
          </w:p>
          <w:p>
            <w:pPr>
              <w:widowControl/>
              <w:snapToGrid w:val="0"/>
              <w:spacing w:line="400" w:lineRule="exact"/>
              <w:ind w:firstLine="480" w:firstLineChars="200"/>
              <w:jc w:val="left"/>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（二）小区监控系统、电梯、水泵、有限空间等共用部位、共用设施设备档案及其管理、运行、维修、养护记录；</w:t>
            </w:r>
          </w:p>
          <w:p>
            <w:pPr>
              <w:widowControl/>
              <w:snapToGrid w:val="0"/>
              <w:spacing w:line="400" w:lineRule="exact"/>
              <w:ind w:firstLine="480" w:firstLineChars="200"/>
              <w:jc w:val="left"/>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（三）水箱清洗记录及水箱水质检测报告；</w:t>
            </w:r>
          </w:p>
          <w:p>
            <w:pPr>
              <w:widowControl/>
              <w:snapToGrid w:val="0"/>
              <w:spacing w:line="400" w:lineRule="exact"/>
              <w:ind w:firstLine="480" w:firstLineChars="200"/>
              <w:jc w:val="left"/>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（四）住宅装饰装修管理资料；</w:t>
            </w:r>
          </w:p>
          <w:p>
            <w:pPr>
              <w:widowControl/>
              <w:snapToGrid w:val="0"/>
              <w:spacing w:line="400" w:lineRule="exact"/>
              <w:ind w:firstLine="480" w:firstLineChars="200"/>
              <w:jc w:val="left"/>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（五）业主名册；</w:t>
            </w:r>
          </w:p>
          <w:p>
            <w:pPr>
              <w:widowControl/>
              <w:snapToGrid w:val="0"/>
              <w:spacing w:line="400" w:lineRule="exact"/>
              <w:ind w:firstLine="480" w:firstLineChars="200"/>
              <w:jc w:val="left"/>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（六）签订的供水、供电、垃圾清运等书面协议；</w:t>
            </w:r>
          </w:p>
          <w:p>
            <w:pPr>
              <w:widowControl/>
              <w:snapToGrid w:val="0"/>
              <w:spacing w:line="400" w:lineRule="exact"/>
              <w:ind w:firstLine="480" w:firstLineChars="200"/>
              <w:jc w:val="left"/>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（七）物业服务活动中形成的与业主利益相关的其他资料。</w:t>
            </w:r>
          </w:p>
          <w:p>
            <w:pPr>
              <w:widowControl/>
              <w:snapToGrid w:val="0"/>
              <w:spacing w:line="400" w:lineRule="exact"/>
              <w:ind w:firstLine="481" w:firstLineChars="200"/>
              <w:jc w:val="left"/>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第九十五条</w:t>
            </w:r>
            <w:r>
              <w:rPr>
                <w:rFonts w:hint="eastAsia" w:ascii="仿宋_GB2312" w:hAnsi="仿宋" w:eastAsia="仿宋_GB2312" w:cs="仿宋"/>
                <w:color w:val="000000" w:themeColor="text1"/>
                <w:sz w:val="24"/>
              </w:rPr>
              <w:t>　违反本条例第七十一条规定，物业服务人未建立、保存相关档案和资料的，由区住房和城乡建设或者房屋主管部门责令限期改正，处二万元以上五万元以下的罚款。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661" w:type="dxa"/>
            <w:vMerge w:val="continue"/>
            <w:tcBorders>
              <w:tl2br w:val="nil"/>
              <w:tr2bl w:val="nil"/>
            </w:tcBorders>
            <w:vAlign w:val="center"/>
          </w:tcPr>
          <w:p>
            <w:pPr>
              <w:snapToGrid w:val="0"/>
              <w:spacing w:line="400" w:lineRule="exact"/>
              <w:jc w:val="center"/>
              <w:rPr>
                <w:rFonts w:ascii="仿宋_GB2312" w:hAnsi="宋体" w:eastAsia="仿宋_GB2312" w:cs="宋体"/>
                <w:color w:val="000000" w:themeColor="text1"/>
                <w:sz w:val="24"/>
              </w:rPr>
            </w:pPr>
          </w:p>
        </w:tc>
        <w:tc>
          <w:tcPr>
            <w:tcW w:w="1829" w:type="dxa"/>
            <w:tcBorders>
              <w:tl2br w:val="nil"/>
              <w:tr2bl w:val="nil"/>
            </w:tcBorders>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（三）物业交接管理</w:t>
            </w:r>
          </w:p>
        </w:tc>
        <w:tc>
          <w:tcPr>
            <w:tcW w:w="1824" w:type="dxa"/>
            <w:tcBorders>
              <w:tl2br w:val="nil"/>
              <w:tr2bl w:val="nil"/>
            </w:tcBorders>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《北京市物业管理条例》</w:t>
            </w:r>
          </w:p>
        </w:tc>
        <w:tc>
          <w:tcPr>
            <w:tcW w:w="8484" w:type="dxa"/>
            <w:tcBorders>
              <w:tl2br w:val="nil"/>
              <w:tr2bl w:val="nil"/>
            </w:tcBorders>
            <w:vAlign w:val="center"/>
          </w:tcPr>
          <w:p>
            <w:pPr>
              <w:widowControl/>
              <w:snapToGrid w:val="0"/>
              <w:spacing w:line="400" w:lineRule="exact"/>
              <w:ind w:firstLine="481" w:firstLineChars="200"/>
              <w:jc w:val="left"/>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第七十六条第一款</w:t>
            </w:r>
            <w:r>
              <w:rPr>
                <w:rFonts w:hint="eastAsia" w:ascii="仿宋_GB2312" w:hAnsi="仿宋" w:eastAsia="仿宋_GB2312" w:cs="仿宋"/>
                <w:color w:val="000000" w:themeColor="text1"/>
                <w:sz w:val="24"/>
              </w:rPr>
              <w:t>　业主共同决定解聘物业服务人的，物业服务人应当自接到通知之日起三十日内履行下列交接义务，并且退出物业管理区域：</w:t>
            </w:r>
          </w:p>
          <w:p>
            <w:pPr>
              <w:widowControl/>
              <w:snapToGrid w:val="0"/>
              <w:spacing w:line="400" w:lineRule="exact"/>
              <w:ind w:firstLine="480" w:firstLineChars="200"/>
              <w:jc w:val="left"/>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（一）移交物业共用部分；</w:t>
            </w:r>
          </w:p>
          <w:p>
            <w:pPr>
              <w:widowControl/>
              <w:snapToGrid w:val="0"/>
              <w:spacing w:line="400" w:lineRule="exact"/>
              <w:ind w:firstLine="480" w:firstLineChars="200"/>
              <w:jc w:val="left"/>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（二）移交本条例第二十一条、第七十一条规定的档案和资料；</w:t>
            </w:r>
          </w:p>
          <w:p>
            <w:pPr>
              <w:widowControl/>
              <w:snapToGrid w:val="0"/>
              <w:spacing w:line="400" w:lineRule="exact"/>
              <w:ind w:firstLine="480" w:firstLineChars="200"/>
              <w:jc w:val="left"/>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（三）结清预收、代收的有关费用；</w:t>
            </w:r>
          </w:p>
          <w:p>
            <w:pPr>
              <w:widowControl/>
              <w:snapToGrid w:val="0"/>
              <w:spacing w:line="400" w:lineRule="exact"/>
              <w:ind w:firstLine="480" w:firstLineChars="200"/>
              <w:jc w:val="left"/>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（四）物业服务合同约定的其他事项。</w:t>
            </w:r>
          </w:p>
          <w:p>
            <w:pPr>
              <w:widowControl/>
              <w:snapToGrid w:val="0"/>
              <w:spacing w:line="400" w:lineRule="exact"/>
              <w:ind w:firstLine="481" w:firstLineChars="200"/>
              <w:jc w:val="left"/>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第九十七条</w:t>
            </w:r>
            <w:r>
              <w:rPr>
                <w:rFonts w:hint="eastAsia" w:ascii="仿宋_GB2312" w:hAnsi="仿宋" w:eastAsia="仿宋_GB2312" w:cs="仿宋"/>
                <w:color w:val="000000" w:themeColor="text1"/>
                <w:sz w:val="24"/>
              </w:rPr>
              <w:t>　物业服务人违反本条例第七十六条第一款规定的，由区住房和城乡建设或者房屋主管部门责令限期改正；逾期不改的，对物业服务人予以通报，对拒不移交有关资料或者财物的，处一万元以上十万元以下的罚款；拒不退出物业管理区域的，自规定时间届满次日起处每日一万元的罚款。物业服务人有违反治安管理行为的，由公安机关依法给予治安管理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2" w:hRule="atLeast"/>
          <w:jc w:val="center"/>
        </w:trPr>
        <w:tc>
          <w:tcPr>
            <w:tcW w:w="1661" w:type="dxa"/>
            <w:vMerge w:val="continue"/>
            <w:tcBorders>
              <w:tl2br w:val="nil"/>
              <w:tr2bl w:val="nil"/>
            </w:tcBorders>
            <w:vAlign w:val="center"/>
          </w:tcPr>
          <w:p>
            <w:pPr>
              <w:snapToGrid w:val="0"/>
              <w:spacing w:line="400" w:lineRule="exact"/>
              <w:jc w:val="center"/>
              <w:rPr>
                <w:rFonts w:ascii="仿宋_GB2312" w:hAnsi="宋体" w:eastAsia="仿宋_GB2312" w:cs="宋体"/>
                <w:color w:val="000000" w:themeColor="text1"/>
                <w:sz w:val="24"/>
              </w:rPr>
            </w:pPr>
          </w:p>
        </w:tc>
        <w:tc>
          <w:tcPr>
            <w:tcW w:w="1829" w:type="dxa"/>
            <w:tcBorders>
              <w:tl2br w:val="nil"/>
              <w:tr2bl w:val="nil"/>
            </w:tcBorders>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（四）公共收益</w:t>
            </w:r>
          </w:p>
        </w:tc>
        <w:tc>
          <w:tcPr>
            <w:tcW w:w="1824" w:type="dxa"/>
            <w:tcBorders>
              <w:tl2br w:val="nil"/>
              <w:tr2bl w:val="nil"/>
            </w:tcBorders>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《北京市物业管理条例》</w:t>
            </w:r>
          </w:p>
        </w:tc>
        <w:tc>
          <w:tcPr>
            <w:tcW w:w="8484" w:type="dxa"/>
            <w:tcBorders>
              <w:tl2br w:val="nil"/>
              <w:tr2bl w:val="nil"/>
            </w:tcBorders>
            <w:vAlign w:val="center"/>
          </w:tcPr>
          <w:p>
            <w:pPr>
              <w:widowControl/>
              <w:snapToGrid w:val="0"/>
              <w:spacing w:line="400" w:lineRule="exact"/>
              <w:ind w:firstLine="481" w:firstLineChars="200"/>
              <w:jc w:val="left"/>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第七十四条</w:t>
            </w:r>
            <w:r>
              <w:rPr>
                <w:rFonts w:hint="eastAsia" w:ascii="仿宋_GB2312" w:hAnsi="仿宋" w:eastAsia="仿宋_GB2312" w:cs="仿宋"/>
                <w:color w:val="000000" w:themeColor="text1"/>
                <w:sz w:val="24"/>
              </w:rPr>
              <w:t>　物业服务人利用共用部分从事经营活动的，应当将公共收益单独列账。</w:t>
            </w:r>
            <w:r>
              <w:rPr>
                <w:rFonts w:hint="eastAsia" w:ascii="仿宋_GB2312" w:hAnsi="仿宋" w:eastAsia="仿宋_GB2312" w:cs="仿宋"/>
                <w:color w:val="000000" w:themeColor="text1"/>
                <w:sz w:val="24"/>
              </w:rPr>
              <w:br w:type="textWrapping"/>
            </w:r>
            <w:r>
              <w:rPr>
                <w:rFonts w:hint="eastAsia" w:ascii="仿宋_GB2312" w:hAnsi="仿宋" w:eastAsia="仿宋_GB2312" w:cs="仿宋"/>
                <w:color w:val="000000" w:themeColor="text1"/>
                <w:sz w:val="24"/>
              </w:rPr>
              <w:t xml:space="preserve"> </w:t>
            </w:r>
            <w:r>
              <w:rPr>
                <w:rFonts w:ascii="仿宋_GB2312" w:hAnsi="仿宋" w:eastAsia="仿宋_GB2312" w:cs="仿宋"/>
                <w:color w:val="000000" w:themeColor="text1"/>
                <w:sz w:val="24"/>
              </w:rPr>
              <w:t xml:space="preserve">   </w:t>
            </w:r>
            <w:r>
              <w:rPr>
                <w:rFonts w:hint="eastAsia" w:ascii="仿宋_GB2312" w:hAnsi="仿宋" w:eastAsia="仿宋_GB2312" w:cs="仿宋"/>
                <w:color w:val="000000" w:themeColor="text1"/>
                <w:sz w:val="24"/>
              </w:rPr>
              <w:t>公共收益归全体业主所有。专项维修资金余额不足首期应筹集金额百分之三十的，百分之五十以上的公共收益金额应当优先用于补充专项维修资金，剩余部分的使用由业主共同决定。</w:t>
            </w:r>
          </w:p>
          <w:p>
            <w:pPr>
              <w:widowControl/>
              <w:snapToGrid w:val="0"/>
              <w:spacing w:line="400" w:lineRule="exact"/>
              <w:ind w:firstLine="481" w:firstLineChars="200"/>
              <w:jc w:val="left"/>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第九十六条</w:t>
            </w:r>
            <w:r>
              <w:rPr>
                <w:rFonts w:hint="eastAsia" w:ascii="仿宋_GB2312" w:hAnsi="仿宋" w:eastAsia="仿宋_GB2312" w:cs="仿宋"/>
                <w:color w:val="000000" w:themeColor="text1"/>
                <w:sz w:val="24"/>
              </w:rPr>
              <w:t>　违反本条例第七十四条规定，物业服务人挪用、侵占公共收益的，由区住房和城乡建设或者房屋主管部门责令退还，并处挪用、侵占金额二倍以下的罚款。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60" w:hRule="atLeast"/>
          <w:jc w:val="center"/>
        </w:trPr>
        <w:tc>
          <w:tcPr>
            <w:tcW w:w="1661" w:type="dxa"/>
            <w:vMerge w:val="continue"/>
            <w:tcBorders>
              <w:tl2br w:val="nil"/>
              <w:tr2bl w:val="nil"/>
            </w:tcBorders>
            <w:vAlign w:val="center"/>
          </w:tcPr>
          <w:p>
            <w:pPr>
              <w:snapToGrid w:val="0"/>
              <w:spacing w:line="400" w:lineRule="exact"/>
              <w:jc w:val="center"/>
              <w:rPr>
                <w:rFonts w:ascii="仿宋_GB2312" w:hAnsi="宋体" w:eastAsia="仿宋_GB2312" w:cs="宋体"/>
                <w:color w:val="000000" w:themeColor="text1"/>
                <w:sz w:val="24"/>
              </w:rPr>
            </w:pPr>
          </w:p>
        </w:tc>
        <w:tc>
          <w:tcPr>
            <w:tcW w:w="1829" w:type="dxa"/>
            <w:tcBorders>
              <w:tl2br w:val="nil"/>
              <w:tr2bl w:val="nil"/>
            </w:tcBorders>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（五）专项委托</w:t>
            </w:r>
          </w:p>
        </w:tc>
        <w:tc>
          <w:tcPr>
            <w:tcW w:w="1824" w:type="dxa"/>
            <w:tcBorders>
              <w:tl2br w:val="nil"/>
              <w:tr2bl w:val="nil"/>
            </w:tcBorders>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《北京市物业管理条例》</w:t>
            </w:r>
          </w:p>
        </w:tc>
        <w:tc>
          <w:tcPr>
            <w:tcW w:w="8484" w:type="dxa"/>
            <w:tcBorders>
              <w:tl2br w:val="nil"/>
              <w:tr2bl w:val="nil"/>
            </w:tcBorders>
            <w:vAlign w:val="center"/>
          </w:tcPr>
          <w:p>
            <w:pPr>
              <w:widowControl/>
              <w:snapToGrid w:val="0"/>
              <w:spacing w:line="400" w:lineRule="exact"/>
              <w:ind w:firstLine="481" w:firstLineChars="200"/>
              <w:jc w:val="left"/>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第三十九条</w:t>
            </w:r>
            <w:r>
              <w:rPr>
                <w:rFonts w:hint="eastAsia" w:ascii="仿宋_GB2312" w:hAnsi="仿宋" w:eastAsia="仿宋_GB2312" w:cs="仿宋"/>
                <w:color w:val="000000" w:themeColor="text1"/>
                <w:sz w:val="24"/>
              </w:rPr>
              <w:t>　物业服务企业可以将物业管理区域内的专项服务业务委托给专业性服务企业，但不得将该区域内的全部物业管理一并委托给他人。</w:t>
            </w:r>
          </w:p>
          <w:p>
            <w:pPr>
              <w:widowControl/>
              <w:snapToGrid w:val="0"/>
              <w:spacing w:line="400" w:lineRule="exact"/>
              <w:ind w:firstLine="481" w:firstLineChars="200"/>
              <w:jc w:val="left"/>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第五十九条</w:t>
            </w:r>
            <w:r>
              <w:rPr>
                <w:rFonts w:hint="eastAsia" w:ascii="仿宋_GB2312" w:hAnsi="仿宋" w:eastAsia="仿宋_GB2312" w:cs="仿宋"/>
                <w:color w:val="000000" w:themeColor="text1"/>
                <w:sz w:val="24"/>
              </w:rPr>
              <w:t>　违反本条例的规定，物业服务企业将一个物业管理区域内的全部物业管理一并委托给他人的，由县级以上地方人民政府房地产行政主管部门责令限期改正，处委托合同价款30%以上50%以下的罚款；情节严重的，由颁发资质证书的部门吊销资质证书。委托所得收益，用于物业管理区域内物业共用部位、共用设施设备的维修、养护，剩余部分按照业主大会的决定使用；给业主造成损失的，依法承担赔偿责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5" w:hRule="atLeast"/>
          <w:jc w:val="center"/>
        </w:trPr>
        <w:tc>
          <w:tcPr>
            <w:tcW w:w="1661" w:type="dxa"/>
            <w:vMerge w:val="continue"/>
            <w:tcBorders>
              <w:tl2br w:val="nil"/>
              <w:tr2bl w:val="nil"/>
            </w:tcBorders>
            <w:vAlign w:val="center"/>
          </w:tcPr>
          <w:p>
            <w:pPr>
              <w:snapToGrid w:val="0"/>
              <w:spacing w:line="400" w:lineRule="exact"/>
              <w:jc w:val="center"/>
              <w:rPr>
                <w:rFonts w:ascii="仿宋_GB2312" w:hAnsi="宋体" w:eastAsia="仿宋_GB2312" w:cs="宋体"/>
                <w:color w:val="000000" w:themeColor="text1"/>
                <w:sz w:val="24"/>
              </w:rPr>
            </w:pPr>
          </w:p>
        </w:tc>
        <w:tc>
          <w:tcPr>
            <w:tcW w:w="1829" w:type="dxa"/>
            <w:tcBorders>
              <w:tl2br w:val="nil"/>
              <w:tr2bl w:val="nil"/>
            </w:tcBorders>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（六）住宅专项维修资金的管理使用</w:t>
            </w:r>
          </w:p>
        </w:tc>
        <w:tc>
          <w:tcPr>
            <w:tcW w:w="1824" w:type="dxa"/>
            <w:tcBorders>
              <w:tl2br w:val="nil"/>
              <w:tr2bl w:val="nil"/>
            </w:tcBorders>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《住宅专项维修资金管理办法》</w:t>
            </w:r>
          </w:p>
        </w:tc>
        <w:tc>
          <w:tcPr>
            <w:tcW w:w="8484" w:type="dxa"/>
            <w:tcBorders>
              <w:tl2br w:val="nil"/>
              <w:tr2bl w:val="nil"/>
            </w:tcBorders>
            <w:vAlign w:val="center"/>
          </w:tcPr>
          <w:p>
            <w:pPr>
              <w:widowControl/>
              <w:snapToGrid w:val="0"/>
              <w:spacing w:line="400" w:lineRule="exact"/>
              <w:ind w:firstLine="481" w:firstLineChars="200"/>
              <w:jc w:val="left"/>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第十八条</w:t>
            </w:r>
            <w:r>
              <w:rPr>
                <w:rFonts w:hint="eastAsia" w:ascii="仿宋_GB2312" w:hAnsi="仿宋" w:eastAsia="仿宋_GB2312" w:cs="仿宋"/>
                <w:color w:val="000000" w:themeColor="text1"/>
                <w:sz w:val="24"/>
              </w:rPr>
              <w:t>　住宅专项维修资金应当专项用于住宅共用部位、共用设施设备保修期满后的维修和更新、改造，不得挪作他用。</w:t>
            </w:r>
          </w:p>
          <w:p>
            <w:pPr>
              <w:widowControl/>
              <w:snapToGrid w:val="0"/>
              <w:spacing w:line="400" w:lineRule="exact"/>
              <w:ind w:firstLine="481" w:firstLineChars="200"/>
              <w:jc w:val="left"/>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第三十七条第一款</w:t>
            </w:r>
            <w:r>
              <w:rPr>
                <w:rFonts w:hint="eastAsia" w:ascii="仿宋_GB2312" w:hAnsi="仿宋" w:eastAsia="仿宋_GB2312" w:cs="仿宋"/>
                <w:color w:val="000000" w:themeColor="text1"/>
                <w:sz w:val="24"/>
              </w:rPr>
              <w:t>　违反本办法规定，挪用住宅专项维修资金的，由县级以上地方人民政府建设（房地产）主管部门追回挪用的住宅专项维修资金，没收违法所得，可以并处挪用金额2倍以下的罚款；构成犯罪的，依法追究直接负责的主管人员和其他直接责任人员的刑事责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67" w:hRule="atLeast"/>
          <w:jc w:val="center"/>
        </w:trPr>
        <w:tc>
          <w:tcPr>
            <w:tcW w:w="1661" w:type="dxa"/>
            <w:vMerge w:val="restart"/>
            <w:tcBorders>
              <w:tl2br w:val="nil"/>
              <w:tr2bl w:val="nil"/>
            </w:tcBorders>
            <w:vAlign w:val="center"/>
          </w:tcPr>
          <w:p>
            <w:pPr>
              <w:widowControl/>
              <w:snapToGrid w:val="0"/>
              <w:spacing w:line="400" w:lineRule="exact"/>
              <w:jc w:val="center"/>
              <w:textAlignment w:val="bottom"/>
              <w:rPr>
                <w:rFonts w:ascii="仿宋_GB2312" w:hAnsi="宋体" w:eastAsia="仿宋_GB2312" w:cs="宋体"/>
                <w:color w:val="000000" w:themeColor="text1"/>
                <w:sz w:val="24"/>
              </w:rPr>
            </w:pPr>
            <w:r>
              <w:rPr>
                <w:rFonts w:hint="eastAsia" w:ascii="仿宋_GB2312" w:hAnsi="宋体" w:eastAsia="仿宋_GB2312" w:cs="宋体"/>
                <w:color w:val="000000" w:themeColor="text1"/>
                <w:sz w:val="24"/>
              </w:rPr>
              <w:t>五、监督管理</w:t>
            </w:r>
          </w:p>
        </w:tc>
        <w:tc>
          <w:tcPr>
            <w:tcW w:w="1829" w:type="dxa"/>
            <w:tcBorders>
              <w:tl2br w:val="nil"/>
              <w:tr2bl w:val="nil"/>
            </w:tcBorders>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（一）制止、报告违法建设行为</w:t>
            </w:r>
          </w:p>
        </w:tc>
        <w:tc>
          <w:tcPr>
            <w:tcW w:w="1824" w:type="dxa"/>
            <w:tcBorders>
              <w:tl2br w:val="nil"/>
              <w:tr2bl w:val="nil"/>
            </w:tcBorders>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《北京市物业管理条例》</w:t>
            </w:r>
          </w:p>
        </w:tc>
        <w:tc>
          <w:tcPr>
            <w:tcW w:w="8484" w:type="dxa"/>
            <w:tcBorders>
              <w:tl2br w:val="nil"/>
              <w:tr2bl w:val="nil"/>
            </w:tcBorders>
            <w:vAlign w:val="center"/>
          </w:tcPr>
          <w:p>
            <w:pPr>
              <w:widowControl/>
              <w:snapToGrid w:val="0"/>
              <w:spacing w:line="400" w:lineRule="exact"/>
              <w:ind w:firstLine="481" w:firstLineChars="200"/>
              <w:jc w:val="left"/>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第六十五条</w:t>
            </w:r>
            <w:r>
              <w:rPr>
                <w:rFonts w:hint="eastAsia" w:ascii="仿宋_GB2312" w:hAnsi="仿宋" w:eastAsia="仿宋_GB2312" w:cs="仿宋"/>
                <w:color w:val="000000" w:themeColor="text1"/>
                <w:sz w:val="24"/>
              </w:rPr>
              <w:t>　物业服务人应当按照物业服务合同的约定提供物业服务，并且遵守下列规定：（四）对违法建设、违规出租房屋、私拉电线、占用消防通道等行为进行劝阻、制止，劝阻、制止无效的，及时报告行政执法机关。</w:t>
            </w:r>
          </w:p>
          <w:p>
            <w:pPr>
              <w:widowControl/>
              <w:snapToGrid w:val="0"/>
              <w:spacing w:line="400" w:lineRule="exact"/>
              <w:ind w:firstLine="481" w:firstLineChars="200"/>
              <w:jc w:val="left"/>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第九十二条</w:t>
            </w:r>
            <w:r>
              <w:rPr>
                <w:rFonts w:hint="eastAsia" w:ascii="仿宋_GB2312" w:hAnsi="仿宋" w:eastAsia="仿宋_GB2312" w:cs="仿宋"/>
                <w:color w:val="000000" w:themeColor="text1"/>
                <w:sz w:val="24"/>
              </w:rPr>
              <w:t>　违反本条例第六十五条第（一）项至第（六）项规定，物业服务人提供服务未遵守相关规定的，由区住房和城乡建设或者房屋主管部门给予警告，处五千元以上一万元以下的罚款。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59" w:hRule="atLeast"/>
          <w:jc w:val="center"/>
        </w:trPr>
        <w:tc>
          <w:tcPr>
            <w:tcW w:w="1661" w:type="dxa"/>
            <w:vMerge w:val="continue"/>
            <w:tcBorders>
              <w:tl2br w:val="nil"/>
              <w:tr2bl w:val="nil"/>
            </w:tcBorders>
            <w:vAlign w:val="center"/>
          </w:tcPr>
          <w:p>
            <w:pPr>
              <w:snapToGrid w:val="0"/>
              <w:spacing w:line="400" w:lineRule="exact"/>
              <w:jc w:val="center"/>
              <w:rPr>
                <w:rFonts w:ascii="仿宋_GB2312" w:hAnsi="宋体" w:eastAsia="仿宋_GB2312" w:cs="宋体"/>
                <w:color w:val="000000" w:themeColor="text1"/>
                <w:sz w:val="24"/>
              </w:rPr>
            </w:pPr>
          </w:p>
        </w:tc>
        <w:tc>
          <w:tcPr>
            <w:tcW w:w="1829" w:type="dxa"/>
            <w:tcBorders>
              <w:tl2br w:val="nil"/>
              <w:tr2bl w:val="nil"/>
            </w:tcBorders>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（二）安全隐患检查、排除、报告</w:t>
            </w:r>
          </w:p>
        </w:tc>
        <w:tc>
          <w:tcPr>
            <w:tcW w:w="1824" w:type="dxa"/>
            <w:tcBorders>
              <w:tl2br w:val="nil"/>
              <w:tr2bl w:val="nil"/>
            </w:tcBorders>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《北京市物业管理条例》</w:t>
            </w:r>
          </w:p>
        </w:tc>
        <w:tc>
          <w:tcPr>
            <w:tcW w:w="8484" w:type="dxa"/>
            <w:tcBorders>
              <w:tl2br w:val="nil"/>
              <w:tr2bl w:val="nil"/>
            </w:tcBorders>
            <w:vAlign w:val="center"/>
          </w:tcPr>
          <w:p>
            <w:pPr>
              <w:widowControl/>
              <w:snapToGrid w:val="0"/>
              <w:spacing w:line="400" w:lineRule="exact"/>
              <w:ind w:firstLine="481" w:firstLineChars="200"/>
              <w:jc w:val="left"/>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第六十五条</w:t>
            </w:r>
            <w:r>
              <w:rPr>
                <w:rFonts w:hint="eastAsia" w:ascii="仿宋_GB2312" w:hAnsi="仿宋" w:eastAsia="仿宋_GB2312" w:cs="仿宋"/>
                <w:color w:val="000000" w:themeColor="text1"/>
                <w:sz w:val="24"/>
              </w:rPr>
              <w:t>　物业服务人应当按照物业服务合同的约定提供物业服务，并且遵守下列规定：（五）发现有安全风险隐患的，及时设置警示标志，采取措施排除隐患或者向有关专业机构报告。</w:t>
            </w:r>
          </w:p>
          <w:p>
            <w:pPr>
              <w:widowControl/>
              <w:snapToGrid w:val="0"/>
              <w:spacing w:line="400" w:lineRule="exact"/>
              <w:ind w:firstLine="481" w:firstLineChars="200"/>
              <w:jc w:val="left"/>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第九十二条</w:t>
            </w:r>
            <w:r>
              <w:rPr>
                <w:rFonts w:hint="eastAsia" w:ascii="仿宋_GB2312" w:hAnsi="仿宋" w:eastAsia="仿宋_GB2312" w:cs="仿宋"/>
                <w:color w:val="000000" w:themeColor="text1"/>
                <w:sz w:val="24"/>
              </w:rPr>
              <w:t>　违反本条例第六十五条第（一）项至第（六）项规定，物业服务人提供服务未遵守相关规定的，由区住房和城乡建设或者房屋主管部门给予警告，处五千元以上一万元以下的罚款。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84" w:hRule="atLeast"/>
          <w:jc w:val="center"/>
        </w:trPr>
        <w:tc>
          <w:tcPr>
            <w:tcW w:w="1661" w:type="dxa"/>
            <w:vMerge w:val="continue"/>
            <w:tcBorders>
              <w:tl2br w:val="nil"/>
              <w:tr2bl w:val="nil"/>
            </w:tcBorders>
            <w:vAlign w:val="center"/>
          </w:tcPr>
          <w:p>
            <w:pPr>
              <w:snapToGrid w:val="0"/>
              <w:spacing w:line="400" w:lineRule="exact"/>
              <w:jc w:val="center"/>
              <w:rPr>
                <w:rFonts w:ascii="仿宋_GB2312" w:hAnsi="宋体" w:eastAsia="仿宋_GB2312" w:cs="宋体"/>
                <w:color w:val="000000" w:themeColor="text1"/>
                <w:sz w:val="24"/>
              </w:rPr>
            </w:pPr>
          </w:p>
        </w:tc>
        <w:tc>
          <w:tcPr>
            <w:tcW w:w="1829" w:type="dxa"/>
            <w:vMerge w:val="restart"/>
            <w:tcBorders>
              <w:tl2br w:val="nil"/>
              <w:tr2bl w:val="nil"/>
            </w:tcBorders>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（三）制止、劝阻、报告违约行为</w:t>
            </w:r>
          </w:p>
        </w:tc>
        <w:tc>
          <w:tcPr>
            <w:tcW w:w="1824" w:type="dxa"/>
            <w:vMerge w:val="restart"/>
            <w:tcBorders>
              <w:tl2br w:val="nil"/>
              <w:tr2bl w:val="nil"/>
            </w:tcBorders>
            <w:vAlign w:val="center"/>
          </w:tcPr>
          <w:p>
            <w:pPr>
              <w:widowControl/>
              <w:snapToGrid w:val="0"/>
              <w:spacing w:line="400" w:lineRule="exac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《北京市物业管理条例》</w:t>
            </w:r>
          </w:p>
        </w:tc>
        <w:tc>
          <w:tcPr>
            <w:tcW w:w="8484" w:type="dxa"/>
            <w:tcBorders>
              <w:tl2br w:val="nil"/>
              <w:tr2bl w:val="nil"/>
            </w:tcBorders>
            <w:vAlign w:val="center"/>
          </w:tcPr>
          <w:p>
            <w:pPr>
              <w:widowControl/>
              <w:snapToGrid w:val="0"/>
              <w:spacing w:line="400" w:lineRule="exact"/>
              <w:ind w:firstLine="481" w:firstLineChars="200"/>
              <w:jc w:val="left"/>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第六十五条</w:t>
            </w:r>
            <w:r>
              <w:rPr>
                <w:rFonts w:hint="eastAsia" w:ascii="仿宋_GB2312" w:hAnsi="仿宋" w:eastAsia="仿宋_GB2312" w:cs="仿宋"/>
                <w:color w:val="000000" w:themeColor="text1"/>
                <w:sz w:val="24"/>
              </w:rPr>
              <w:t>　物业服务人应当按照物业服务合同的约定提供物业服务，并且遵守下列规定：（六）对业主、物业使用人违反临时管理规约、管理规约的行为进行劝阻、制止，并及时报告业主委员会或者物业管理委员会。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76" w:hRule="atLeast"/>
          <w:jc w:val="center"/>
        </w:trPr>
        <w:tc>
          <w:tcPr>
            <w:tcW w:w="1661" w:type="dxa"/>
            <w:vMerge w:val="continue"/>
            <w:tcBorders>
              <w:tl2br w:val="nil"/>
              <w:tr2bl w:val="nil"/>
            </w:tcBorders>
            <w:vAlign w:val="center"/>
          </w:tcPr>
          <w:p>
            <w:pPr>
              <w:snapToGrid w:val="0"/>
              <w:spacing w:line="400" w:lineRule="exact"/>
              <w:jc w:val="center"/>
              <w:rPr>
                <w:rFonts w:ascii="仿宋_GB2312" w:hAnsi="宋体" w:eastAsia="仿宋_GB2312" w:cs="宋体"/>
                <w:color w:val="000000" w:themeColor="text1"/>
                <w:sz w:val="24"/>
              </w:rPr>
            </w:pPr>
          </w:p>
        </w:tc>
        <w:tc>
          <w:tcPr>
            <w:tcW w:w="1829" w:type="dxa"/>
            <w:vMerge w:val="continue"/>
            <w:tcBorders>
              <w:tl2br w:val="nil"/>
              <w:tr2bl w:val="nil"/>
            </w:tcBorders>
            <w:vAlign w:val="center"/>
          </w:tcPr>
          <w:p>
            <w:pPr>
              <w:widowControl/>
              <w:snapToGrid w:val="0"/>
              <w:spacing w:line="400" w:lineRule="exact"/>
              <w:textAlignment w:val="center"/>
              <w:rPr>
                <w:rFonts w:ascii="仿宋_GB2312" w:hAnsi="宋体" w:eastAsia="仿宋_GB2312" w:cs="宋体"/>
                <w:color w:val="000000" w:themeColor="text1"/>
                <w:kern w:val="0"/>
                <w:sz w:val="24"/>
              </w:rPr>
            </w:pPr>
          </w:p>
        </w:tc>
        <w:tc>
          <w:tcPr>
            <w:tcW w:w="1824" w:type="dxa"/>
            <w:vMerge w:val="continue"/>
            <w:tcBorders>
              <w:tl2br w:val="nil"/>
              <w:tr2bl w:val="nil"/>
            </w:tcBorders>
            <w:vAlign w:val="center"/>
          </w:tcPr>
          <w:p>
            <w:pPr>
              <w:widowControl/>
              <w:snapToGrid w:val="0"/>
              <w:spacing w:line="400" w:lineRule="exact"/>
              <w:jc w:val="left"/>
              <w:textAlignment w:val="center"/>
              <w:rPr>
                <w:rFonts w:ascii="仿宋_GB2312" w:hAnsi="仿宋" w:eastAsia="仿宋_GB2312" w:cs="仿宋"/>
                <w:color w:val="000000" w:themeColor="text1"/>
                <w:sz w:val="24"/>
              </w:rPr>
            </w:pPr>
          </w:p>
        </w:tc>
        <w:tc>
          <w:tcPr>
            <w:tcW w:w="8484" w:type="dxa"/>
            <w:tcBorders>
              <w:tl2br w:val="nil"/>
              <w:tr2bl w:val="nil"/>
            </w:tcBorders>
            <w:vAlign w:val="center"/>
          </w:tcPr>
          <w:p>
            <w:pPr>
              <w:widowControl/>
              <w:snapToGrid w:val="0"/>
              <w:spacing w:line="400" w:lineRule="exact"/>
              <w:ind w:firstLine="481" w:firstLineChars="200"/>
              <w:jc w:val="left"/>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第九十二条</w:t>
            </w:r>
            <w:r>
              <w:rPr>
                <w:rFonts w:hint="eastAsia" w:ascii="仿宋_GB2312" w:hAnsi="仿宋" w:eastAsia="仿宋_GB2312" w:cs="仿宋"/>
                <w:color w:val="000000" w:themeColor="text1"/>
                <w:sz w:val="24"/>
              </w:rPr>
              <w:t>　违反本条例第六十五条第（一）项至第（六）项规定，物业服务人提供服务未遵守相关规定的，由区住房和城乡建设或者房屋主管部门给予警告，处五千元以上一万元以下的罚款。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20" w:hRule="atLeast"/>
          <w:jc w:val="center"/>
        </w:trPr>
        <w:tc>
          <w:tcPr>
            <w:tcW w:w="1661" w:type="dxa"/>
            <w:tcBorders>
              <w:tl2br w:val="nil"/>
              <w:tr2bl w:val="nil"/>
            </w:tcBorders>
            <w:vAlign w:val="center"/>
          </w:tcPr>
          <w:p>
            <w:pPr>
              <w:widowControl/>
              <w:snapToGrid w:val="0"/>
              <w:spacing w:line="400" w:lineRule="exact"/>
              <w:jc w:val="left"/>
              <w:textAlignment w:val="bottom"/>
              <w:rPr>
                <w:rFonts w:ascii="仿宋_GB2312" w:hAnsi="宋体" w:eastAsia="仿宋_GB2312" w:cs="宋体"/>
                <w:color w:val="000000" w:themeColor="text1"/>
                <w:sz w:val="24"/>
              </w:rPr>
            </w:pPr>
            <w:r>
              <w:rPr>
                <w:rFonts w:hint="eastAsia" w:ascii="仿宋_GB2312" w:hAnsi="宋体" w:eastAsia="仿宋_GB2312" w:cs="宋体"/>
                <w:color w:val="000000" w:themeColor="text1"/>
                <w:sz w:val="24"/>
              </w:rPr>
              <w:t>六、建筑物管理</w:t>
            </w:r>
          </w:p>
        </w:tc>
        <w:tc>
          <w:tcPr>
            <w:tcW w:w="1829" w:type="dxa"/>
            <w:tcBorders>
              <w:tl2br w:val="nil"/>
              <w:tr2bl w:val="nil"/>
            </w:tcBorders>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合理管理使用建筑物</w:t>
            </w:r>
          </w:p>
        </w:tc>
        <w:tc>
          <w:tcPr>
            <w:tcW w:w="1824" w:type="dxa"/>
            <w:tcBorders>
              <w:tl2br w:val="nil"/>
              <w:tr2bl w:val="nil"/>
            </w:tcBorders>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《北京市物业管理条例》</w:t>
            </w:r>
          </w:p>
        </w:tc>
        <w:tc>
          <w:tcPr>
            <w:tcW w:w="8484" w:type="dxa"/>
            <w:tcBorders>
              <w:tl2br w:val="nil"/>
              <w:tr2bl w:val="nil"/>
            </w:tcBorders>
            <w:vAlign w:val="center"/>
          </w:tcPr>
          <w:p>
            <w:pPr>
              <w:widowControl/>
              <w:snapToGrid w:val="0"/>
              <w:spacing w:line="400" w:lineRule="exact"/>
              <w:ind w:firstLine="481" w:firstLineChars="200"/>
              <w:jc w:val="left"/>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第七十八条第二款</w:t>
            </w:r>
            <w:r>
              <w:rPr>
                <w:rFonts w:hint="eastAsia" w:ascii="仿宋_GB2312" w:hAnsi="仿宋" w:eastAsia="仿宋_GB2312" w:cs="仿宋"/>
                <w:b/>
                <w:color w:val="000000" w:themeColor="text1"/>
                <w:sz w:val="24"/>
              </w:rPr>
              <w:t>第一项</w:t>
            </w:r>
            <w:r>
              <w:rPr>
                <w:rFonts w:hint="eastAsia" w:ascii="仿宋_GB2312" w:hAnsi="仿宋" w:eastAsia="仿宋_GB2312" w:cs="仿宋"/>
                <w:color w:val="000000" w:themeColor="text1"/>
                <w:sz w:val="24"/>
              </w:rPr>
              <w:t>　业主、物业使用人应当遵守法律法规和规章的规定以及临时管理规约、管理规约的约定，按照规划用途合理、安全使用物业。</w:t>
            </w:r>
            <w:r>
              <w:rPr>
                <w:rFonts w:hint="eastAsia" w:ascii="仿宋_GB2312" w:hAnsi="仿宋" w:eastAsia="仿宋_GB2312" w:cs="仿宋"/>
                <w:color w:val="000000" w:themeColor="text1"/>
                <w:sz w:val="24"/>
              </w:rPr>
              <w:br w:type="textWrapping"/>
            </w:r>
            <w:r>
              <w:rPr>
                <w:rFonts w:hint="eastAsia" w:ascii="仿宋_GB2312" w:hAnsi="仿宋" w:eastAsia="仿宋_GB2312" w:cs="仿宋"/>
                <w:color w:val="000000" w:themeColor="text1"/>
                <w:sz w:val="24"/>
              </w:rPr>
              <w:t xml:space="preserve"> </w:t>
            </w:r>
            <w:r>
              <w:rPr>
                <w:rFonts w:ascii="仿宋_GB2312" w:hAnsi="仿宋" w:eastAsia="仿宋_GB2312" w:cs="仿宋"/>
                <w:color w:val="000000" w:themeColor="text1"/>
                <w:sz w:val="24"/>
              </w:rPr>
              <w:t xml:space="preserve">   </w:t>
            </w:r>
            <w:r>
              <w:rPr>
                <w:rFonts w:hint="eastAsia" w:ascii="仿宋_GB2312" w:hAnsi="仿宋" w:eastAsia="仿宋_GB2312" w:cs="仿宋"/>
                <w:color w:val="000000" w:themeColor="text1"/>
                <w:sz w:val="24"/>
              </w:rPr>
              <w:t>业主、物业使用人、物业服务人等不得实施下列行为：</w:t>
            </w:r>
          </w:p>
          <w:p>
            <w:pPr>
              <w:widowControl/>
              <w:snapToGrid w:val="0"/>
              <w:spacing w:line="400" w:lineRule="exact"/>
              <w:ind w:firstLine="480" w:firstLineChars="200"/>
              <w:jc w:val="left"/>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（一）损坏、擅自拆改建筑物承重结构、主体结构。</w:t>
            </w:r>
          </w:p>
          <w:p>
            <w:pPr>
              <w:widowControl/>
              <w:snapToGrid w:val="0"/>
              <w:spacing w:line="400" w:lineRule="exact"/>
              <w:ind w:firstLine="481" w:firstLineChars="200"/>
              <w:jc w:val="left"/>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第九十八条第一项</w:t>
            </w:r>
            <w:r>
              <w:rPr>
                <w:rFonts w:hint="eastAsia" w:ascii="仿宋_GB2312" w:hAnsi="仿宋" w:eastAsia="仿宋_GB2312" w:cs="仿宋"/>
                <w:color w:val="000000" w:themeColor="text1"/>
                <w:sz w:val="24"/>
              </w:rPr>
              <w:t>　物业管理区域内有下列行为之一的，由有关主管部门按照下列规定予以查处：</w:t>
            </w:r>
          </w:p>
          <w:p>
            <w:pPr>
              <w:widowControl/>
              <w:snapToGrid w:val="0"/>
              <w:spacing w:line="400" w:lineRule="exact"/>
              <w:ind w:firstLine="480" w:firstLineChars="200"/>
              <w:jc w:val="left"/>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（一）违反本条例第七十八条第二款第（一）项规定的，由区住房和城乡建设或者房屋主管部门责令限期改正，处五万元以上十万元以下的罚款。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2" w:hRule="atLeast"/>
          <w:jc w:val="center"/>
        </w:trPr>
        <w:tc>
          <w:tcPr>
            <w:tcW w:w="1661" w:type="dxa"/>
            <w:tcBorders>
              <w:tl2br w:val="nil"/>
              <w:tr2bl w:val="nil"/>
            </w:tcBorders>
            <w:vAlign w:val="center"/>
          </w:tcPr>
          <w:p>
            <w:pPr>
              <w:snapToGrid w:val="0"/>
              <w:spacing w:line="400" w:lineRule="exact"/>
              <w:rPr>
                <w:rFonts w:ascii="仿宋_GB2312" w:hAnsi="宋体" w:eastAsia="仿宋_GB2312" w:cs="宋体"/>
                <w:color w:val="000000" w:themeColor="text1"/>
                <w:sz w:val="24"/>
              </w:rPr>
            </w:pPr>
            <w:r>
              <w:rPr>
                <w:rFonts w:hint="eastAsia" w:ascii="仿宋_GB2312" w:hAnsi="宋体" w:eastAsia="仿宋_GB2312" w:cs="宋体"/>
                <w:color w:val="000000" w:themeColor="text1"/>
                <w:sz w:val="24"/>
              </w:rPr>
              <w:t>七、管理用房</w:t>
            </w:r>
          </w:p>
        </w:tc>
        <w:tc>
          <w:tcPr>
            <w:tcW w:w="1829" w:type="dxa"/>
            <w:tcBorders>
              <w:tl2br w:val="nil"/>
              <w:tr2bl w:val="nil"/>
            </w:tcBorders>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物业管理用房的使用</w:t>
            </w:r>
          </w:p>
        </w:tc>
        <w:tc>
          <w:tcPr>
            <w:tcW w:w="1824" w:type="dxa"/>
            <w:tcBorders>
              <w:tl2br w:val="nil"/>
              <w:tr2bl w:val="nil"/>
            </w:tcBorders>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《物业管理条例》</w:t>
            </w:r>
          </w:p>
        </w:tc>
        <w:tc>
          <w:tcPr>
            <w:tcW w:w="8484" w:type="dxa"/>
            <w:tcBorders>
              <w:tl2br w:val="nil"/>
              <w:tr2bl w:val="nil"/>
            </w:tcBorders>
            <w:vAlign w:val="center"/>
          </w:tcPr>
          <w:p>
            <w:pPr>
              <w:widowControl/>
              <w:snapToGrid w:val="0"/>
              <w:spacing w:line="400" w:lineRule="exact"/>
              <w:ind w:firstLine="481" w:firstLineChars="200"/>
              <w:jc w:val="left"/>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第三十七条</w:t>
            </w:r>
            <w:r>
              <w:rPr>
                <w:rFonts w:hint="eastAsia" w:ascii="仿宋_GB2312" w:hAnsi="仿宋" w:eastAsia="仿宋_GB2312" w:cs="仿宋"/>
                <w:color w:val="000000" w:themeColor="text1"/>
                <w:sz w:val="24"/>
              </w:rPr>
              <w:t>　物业管理用房的所有权依法属于业主。未经业主大会同意，物业服务企业不得改变物业管理用房的用途。</w:t>
            </w:r>
          </w:p>
          <w:p>
            <w:pPr>
              <w:widowControl/>
              <w:snapToGrid w:val="0"/>
              <w:spacing w:line="400" w:lineRule="exact"/>
              <w:ind w:firstLine="481" w:firstLineChars="200"/>
              <w:jc w:val="left"/>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第六十二条</w:t>
            </w:r>
            <w:r>
              <w:rPr>
                <w:rFonts w:hint="eastAsia" w:ascii="仿宋_GB2312" w:hAnsi="仿宋" w:eastAsia="仿宋_GB2312" w:cs="仿宋"/>
                <w:color w:val="000000" w:themeColor="text1"/>
                <w:sz w:val="24"/>
              </w:rPr>
              <w:t>　违反本条例的规定，未经业主大会同意，物业服务企业擅自改变物业管理用房的用途的，由县级以上地方人民政府房地产行政主管部门责令限期改正，给予警告，并处1万元以上10万元以下的罚款；有收益的，所得收益用于物业管理区域内物业共用部位、共用设施设备的维修、养护，剩余部分按照业主大会的决定使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13" w:hRule="atLeast"/>
          <w:jc w:val="center"/>
        </w:trPr>
        <w:tc>
          <w:tcPr>
            <w:tcW w:w="1661" w:type="dxa"/>
            <w:vMerge w:val="restart"/>
            <w:tcBorders>
              <w:tl2br w:val="nil"/>
              <w:tr2bl w:val="nil"/>
            </w:tcBorders>
            <w:vAlign w:val="center"/>
          </w:tcPr>
          <w:p>
            <w:pPr>
              <w:snapToGrid w:val="0"/>
              <w:spacing w:line="400" w:lineRule="exact"/>
              <w:rPr>
                <w:rFonts w:ascii="仿宋_GB2312" w:hAnsi="宋体" w:eastAsia="仿宋_GB2312" w:cs="宋体"/>
                <w:color w:val="000000" w:themeColor="text1"/>
                <w:sz w:val="24"/>
              </w:rPr>
            </w:pPr>
            <w:r>
              <w:rPr>
                <w:rFonts w:hint="eastAsia" w:ascii="仿宋_GB2312" w:hAnsi="宋体" w:eastAsia="仿宋_GB2312" w:cs="宋体"/>
                <w:color w:val="000000" w:themeColor="text1"/>
                <w:sz w:val="24"/>
              </w:rPr>
              <w:t>八、室内装修</w:t>
            </w:r>
          </w:p>
        </w:tc>
        <w:tc>
          <w:tcPr>
            <w:tcW w:w="1829" w:type="dxa"/>
            <w:tcBorders>
              <w:tl2br w:val="nil"/>
              <w:tr2bl w:val="nil"/>
            </w:tcBorders>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（一）发现并及时报告违规装修行为</w:t>
            </w:r>
          </w:p>
        </w:tc>
        <w:tc>
          <w:tcPr>
            <w:tcW w:w="1824" w:type="dxa"/>
            <w:tcBorders>
              <w:tl2br w:val="nil"/>
              <w:tr2bl w:val="nil"/>
            </w:tcBorders>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《住宅室内装饰装修管理办法》</w:t>
            </w:r>
          </w:p>
        </w:tc>
        <w:tc>
          <w:tcPr>
            <w:tcW w:w="8484" w:type="dxa"/>
            <w:tcBorders>
              <w:tl2br w:val="nil"/>
              <w:tr2bl w:val="nil"/>
            </w:tcBorders>
            <w:vAlign w:val="center"/>
          </w:tcPr>
          <w:p>
            <w:pPr>
              <w:widowControl/>
              <w:snapToGrid w:val="0"/>
              <w:spacing w:line="400" w:lineRule="exact"/>
              <w:ind w:firstLine="481" w:firstLineChars="200"/>
              <w:jc w:val="left"/>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第十七条</w:t>
            </w:r>
            <w:r>
              <w:rPr>
                <w:rFonts w:hint="eastAsia" w:ascii="仿宋_GB2312" w:hAnsi="仿宋" w:eastAsia="仿宋_GB2312" w:cs="仿宋"/>
                <w:color w:val="000000" w:themeColor="text1"/>
                <w:sz w:val="24"/>
              </w:rPr>
              <w:t>　物业管理单位应当按照住宅室内装饰装修管理服务协议实施管理，发现装修人或者装饰装修企业有本办法第五条行为的，或者未经有关部门批准实施本办法第六条所列行为的，或者有违反本办法第七条、第八条、第九条规定行为的，应当立即制止；已造成事实后果或者拒不改正的，应当及时报告有关部门依法处理。对装修人或者装饰装修企业违反住宅室内装饰装修管理服务协议的，追究违约责任。</w:t>
            </w:r>
          </w:p>
          <w:p>
            <w:pPr>
              <w:widowControl/>
              <w:snapToGrid w:val="0"/>
              <w:spacing w:line="400" w:lineRule="exact"/>
              <w:ind w:firstLine="481" w:firstLineChars="200"/>
              <w:jc w:val="left"/>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第四十二条</w:t>
            </w:r>
            <w:r>
              <w:rPr>
                <w:rFonts w:hint="eastAsia" w:ascii="仿宋_GB2312" w:hAnsi="仿宋" w:eastAsia="仿宋_GB2312" w:cs="仿宋"/>
                <w:color w:val="000000" w:themeColor="text1"/>
                <w:sz w:val="24"/>
              </w:rPr>
              <w:t>　物业管理单位发现装修人或者装饰装修企业有违反本办法规定的行为不及时向有关部门报告的，由房地产行政主管部门给予警告，可处装饰装修管理服务协议约定的装饰装修管理服务费2至3倍的罚款。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25" w:hRule="atLeast"/>
          <w:jc w:val="center"/>
        </w:trPr>
        <w:tc>
          <w:tcPr>
            <w:tcW w:w="1661" w:type="dxa"/>
            <w:vMerge w:val="continue"/>
            <w:tcBorders>
              <w:tl2br w:val="nil"/>
              <w:tr2bl w:val="nil"/>
            </w:tcBorders>
            <w:vAlign w:val="center"/>
          </w:tcPr>
          <w:p>
            <w:pPr>
              <w:snapToGrid w:val="0"/>
              <w:spacing w:line="400" w:lineRule="exact"/>
              <w:jc w:val="center"/>
              <w:rPr>
                <w:rFonts w:ascii="仿宋_GB2312" w:hAnsi="宋体" w:eastAsia="仿宋_GB2312" w:cs="宋体"/>
                <w:color w:val="000000" w:themeColor="text1"/>
                <w:sz w:val="24"/>
              </w:rPr>
            </w:pPr>
          </w:p>
        </w:tc>
        <w:tc>
          <w:tcPr>
            <w:tcW w:w="1829" w:type="dxa"/>
            <w:tcBorders>
              <w:tl2br w:val="nil"/>
              <w:tr2bl w:val="nil"/>
            </w:tcBorders>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（二）住宅室内装饰装修活动申报登记</w:t>
            </w:r>
          </w:p>
        </w:tc>
        <w:tc>
          <w:tcPr>
            <w:tcW w:w="1824" w:type="dxa"/>
            <w:tcBorders>
              <w:tl2br w:val="nil"/>
              <w:tr2bl w:val="nil"/>
            </w:tcBorders>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《住宅室内装饰装修管理办法》</w:t>
            </w:r>
          </w:p>
        </w:tc>
        <w:tc>
          <w:tcPr>
            <w:tcW w:w="8484" w:type="dxa"/>
            <w:tcBorders>
              <w:tl2br w:val="nil"/>
              <w:tr2bl w:val="nil"/>
            </w:tcBorders>
            <w:vAlign w:val="center"/>
          </w:tcPr>
          <w:p>
            <w:pPr>
              <w:widowControl/>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第十三条第一款</w:t>
            </w:r>
            <w:r>
              <w:rPr>
                <w:rFonts w:hint="eastAsia" w:ascii="仿宋_GB2312" w:hAnsi="仿宋" w:eastAsia="仿宋_GB2312" w:cs="仿宋"/>
                <w:color w:val="000000" w:themeColor="text1"/>
                <w:sz w:val="24"/>
              </w:rPr>
              <w:t>　装修人在住宅室内装饰装修工程开工前，应当向物业管理企业或者房屋管理机构（以下简称物业管理单位）申报登记。</w:t>
            </w:r>
          </w:p>
          <w:p>
            <w:pPr>
              <w:widowControl/>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第三十五条</w:t>
            </w:r>
            <w:r>
              <w:rPr>
                <w:rFonts w:hint="eastAsia" w:ascii="仿宋_GB2312" w:hAnsi="仿宋" w:eastAsia="仿宋_GB2312" w:cs="仿宋"/>
                <w:color w:val="000000" w:themeColor="text1"/>
                <w:sz w:val="24"/>
              </w:rPr>
              <w:t>　装修人未申报登记进行住宅室内装饰装修活动的，由城市房地产行政主管部门责令改正，处5百元以上1千元以下的罚款。</w:t>
            </w:r>
          </w:p>
        </w:tc>
      </w:tr>
    </w:tbl>
    <w:p>
      <w:pPr>
        <w:snapToGrid w:val="0"/>
        <w:rPr>
          <w:color w:val="000000" w:themeColor="text1"/>
        </w:rPr>
      </w:pPr>
    </w:p>
    <w:p>
      <w:pPr>
        <w:snapToGrid w:val="0"/>
        <w:rPr>
          <w:color w:val="000000" w:themeColor="text1"/>
        </w:rPr>
      </w:pPr>
    </w:p>
    <w:tbl>
      <w:tblPr>
        <w:tblStyle w:val="26"/>
        <w:tblW w:w="1355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35"/>
        <w:gridCol w:w="1812"/>
        <w:gridCol w:w="1800"/>
        <w:gridCol w:w="850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3" w:hRule="atLeast"/>
          <w:tblHeader/>
          <w:jc w:val="center"/>
        </w:trPr>
        <w:tc>
          <w:tcPr>
            <w:tcW w:w="13555" w:type="dxa"/>
            <w:gridSpan w:val="4"/>
            <w:tcBorders>
              <w:tl2br w:val="nil"/>
              <w:tr2bl w:val="nil"/>
            </w:tcBorders>
            <w:vAlign w:val="center"/>
          </w:tcPr>
          <w:p>
            <w:pPr>
              <w:pStyle w:val="5"/>
              <w:jc w:val="center"/>
              <w:rPr>
                <w:color w:val="000000" w:themeColor="text1"/>
              </w:rPr>
            </w:pPr>
            <w:bookmarkStart w:id="177" w:name="_Toc150435299"/>
            <w:r>
              <w:rPr>
                <w:rFonts w:hint="eastAsia"/>
                <w:color w:val="000000" w:themeColor="text1"/>
              </w:rPr>
              <w:t>安全监管方面</w:t>
            </w:r>
            <w:bookmarkEnd w:id="177"/>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5" w:hRule="atLeast"/>
          <w:tblHeader/>
          <w:jc w:val="center"/>
        </w:trPr>
        <w:tc>
          <w:tcPr>
            <w:tcW w:w="1435" w:type="dxa"/>
            <w:tcBorders>
              <w:tl2br w:val="nil"/>
              <w:tr2bl w:val="nil"/>
            </w:tcBorders>
            <w:vAlign w:val="center"/>
          </w:tcPr>
          <w:p>
            <w:pPr>
              <w:pStyle w:val="47"/>
              <w:snapToGrid w:val="0"/>
              <w:spacing w:after="0" w:line="400" w:lineRule="exact"/>
              <w:ind w:left="0" w:leftChars="0" w:firstLine="0" w:firstLineChars="0"/>
              <w:jc w:val="center"/>
              <w:rPr>
                <w:rFonts w:ascii="黑体" w:hAnsi="黑体" w:eastAsia="黑体" w:cs="黑体"/>
                <w:color w:val="000000" w:themeColor="text1"/>
                <w:szCs w:val="21"/>
              </w:rPr>
            </w:pPr>
            <w:r>
              <w:rPr>
                <w:rFonts w:hint="eastAsia" w:ascii="黑体" w:hAnsi="黑体" w:eastAsia="黑体" w:cs="黑体"/>
                <w:color w:val="000000" w:themeColor="text1"/>
                <w:szCs w:val="21"/>
              </w:rPr>
              <w:t>监管内容</w:t>
            </w:r>
          </w:p>
        </w:tc>
        <w:tc>
          <w:tcPr>
            <w:tcW w:w="1812" w:type="dxa"/>
            <w:tcBorders>
              <w:tl2br w:val="nil"/>
              <w:tr2bl w:val="nil"/>
            </w:tcBorders>
            <w:vAlign w:val="center"/>
          </w:tcPr>
          <w:p>
            <w:pPr>
              <w:pStyle w:val="47"/>
              <w:snapToGrid w:val="0"/>
              <w:spacing w:after="0" w:line="400" w:lineRule="exact"/>
              <w:ind w:left="0" w:leftChars="0" w:firstLine="0" w:firstLineChars="0"/>
              <w:jc w:val="center"/>
              <w:rPr>
                <w:rFonts w:ascii="黑体" w:hAnsi="黑体" w:eastAsia="黑体" w:cs="黑体"/>
                <w:color w:val="000000" w:themeColor="text1"/>
                <w:szCs w:val="21"/>
              </w:rPr>
            </w:pPr>
            <w:r>
              <w:rPr>
                <w:rFonts w:hint="eastAsia" w:ascii="黑体" w:hAnsi="黑体" w:eastAsia="黑体" w:cs="黑体"/>
                <w:color w:val="000000" w:themeColor="text1"/>
                <w:szCs w:val="21"/>
              </w:rPr>
              <w:t>监管事项</w:t>
            </w:r>
          </w:p>
        </w:tc>
        <w:tc>
          <w:tcPr>
            <w:tcW w:w="1800" w:type="dxa"/>
            <w:tcBorders>
              <w:tl2br w:val="nil"/>
              <w:tr2bl w:val="nil"/>
            </w:tcBorders>
            <w:vAlign w:val="center"/>
          </w:tcPr>
          <w:p>
            <w:pPr>
              <w:pStyle w:val="47"/>
              <w:snapToGrid w:val="0"/>
              <w:spacing w:after="0" w:line="400" w:lineRule="exact"/>
              <w:ind w:left="0" w:leftChars="0" w:firstLine="0" w:firstLineChars="0"/>
              <w:jc w:val="center"/>
              <w:rPr>
                <w:rFonts w:ascii="黑体" w:hAnsi="黑体" w:eastAsia="黑体" w:cs="黑体"/>
                <w:color w:val="000000" w:themeColor="text1"/>
                <w:szCs w:val="21"/>
              </w:rPr>
            </w:pPr>
            <w:r>
              <w:rPr>
                <w:rFonts w:hint="eastAsia" w:ascii="黑体" w:hAnsi="黑体" w:eastAsia="黑体" w:cs="黑体"/>
                <w:color w:val="000000" w:themeColor="text1"/>
                <w:szCs w:val="21"/>
              </w:rPr>
              <w:t>监管依据</w:t>
            </w:r>
          </w:p>
        </w:tc>
        <w:tc>
          <w:tcPr>
            <w:tcW w:w="8508" w:type="dxa"/>
            <w:tcBorders>
              <w:tl2br w:val="nil"/>
              <w:tr2bl w:val="nil"/>
            </w:tcBorders>
            <w:vAlign w:val="center"/>
          </w:tcPr>
          <w:p>
            <w:pPr>
              <w:pStyle w:val="47"/>
              <w:snapToGrid w:val="0"/>
              <w:spacing w:after="0" w:line="400" w:lineRule="exact"/>
              <w:ind w:left="0" w:leftChars="0" w:firstLine="0" w:firstLineChars="0"/>
              <w:jc w:val="center"/>
              <w:rPr>
                <w:rFonts w:ascii="黑体" w:hAnsi="黑体" w:eastAsia="黑体" w:cs="黑体"/>
                <w:color w:val="000000" w:themeColor="text1"/>
                <w:kern w:val="0"/>
                <w:szCs w:val="21"/>
              </w:rPr>
            </w:pPr>
            <w:r>
              <w:rPr>
                <w:rFonts w:hint="eastAsia" w:ascii="黑体" w:hAnsi="黑体" w:eastAsia="黑体" w:cs="黑体"/>
                <w:color w:val="000000" w:themeColor="text1"/>
                <w:szCs w:val="21"/>
              </w:rPr>
              <w:t>监管规则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51" w:hRule="atLeast"/>
          <w:jc w:val="center"/>
        </w:trPr>
        <w:tc>
          <w:tcPr>
            <w:tcW w:w="1435" w:type="dxa"/>
            <w:vMerge w:val="restart"/>
            <w:tcBorders>
              <w:tl2br w:val="nil"/>
              <w:tr2bl w:val="nil"/>
            </w:tcBorders>
            <w:vAlign w:val="center"/>
          </w:tcPr>
          <w:p>
            <w:pPr>
              <w:widowControl/>
              <w:snapToGrid w:val="0"/>
              <w:spacing w:line="400" w:lineRule="exact"/>
              <w:jc w:val="center"/>
              <w:textAlignment w:val="bottom"/>
              <w:rPr>
                <w:rFonts w:ascii="仿宋_GB2312" w:hAnsi="宋体" w:eastAsia="仿宋_GB2312" w:cs="宋体"/>
                <w:color w:val="000000" w:themeColor="text1"/>
                <w:sz w:val="24"/>
              </w:rPr>
            </w:pPr>
            <w:r>
              <w:rPr>
                <w:rFonts w:hint="eastAsia" w:ascii="仿宋_GB2312" w:hAnsi="宋体" w:eastAsia="仿宋_GB2312" w:cs="宋体"/>
                <w:color w:val="000000" w:themeColor="text1"/>
                <w:sz w:val="24"/>
              </w:rPr>
              <w:t>一、安全管理</w:t>
            </w:r>
          </w:p>
        </w:tc>
        <w:tc>
          <w:tcPr>
            <w:tcW w:w="1812" w:type="dxa"/>
            <w:tcBorders>
              <w:tl2br w:val="nil"/>
              <w:tr2bl w:val="nil"/>
            </w:tcBorders>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（一）建立房屋建筑使用安全管理档案</w:t>
            </w:r>
          </w:p>
        </w:tc>
        <w:tc>
          <w:tcPr>
            <w:tcW w:w="1800" w:type="dxa"/>
            <w:tcBorders>
              <w:tl2br w:val="nil"/>
              <w:tr2bl w:val="nil"/>
            </w:tcBorders>
            <w:shd w:val="clear" w:color="auto" w:fill="auto"/>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《北京市房屋建筑使用安全管理办法》</w:t>
            </w:r>
          </w:p>
        </w:tc>
        <w:tc>
          <w:tcPr>
            <w:tcW w:w="8508" w:type="dxa"/>
            <w:tcBorders>
              <w:tl2br w:val="nil"/>
              <w:tr2bl w:val="nil"/>
            </w:tcBorders>
            <w:vAlign w:val="center"/>
          </w:tcPr>
          <w:p>
            <w:pPr>
              <w:pStyle w:val="47"/>
              <w:snapToGrid w:val="0"/>
              <w:spacing w:after="0" w:line="400" w:lineRule="exact"/>
              <w:ind w:left="0" w:leftChars="0" w:firstLine="482"/>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第七条第二款</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房屋建筑所有权人或者受托管理人应当对房屋建筑进行检查维护，发现危及房屋建筑使用安全的问题时，应当及时向住房城乡建设行政主管部门报告，并有权对危害房屋建筑使用安全的行为进行制止。</w:t>
            </w:r>
            <w:r>
              <w:rPr>
                <w:rFonts w:hint="eastAsia" w:ascii="仿宋_GB2312" w:hAnsi="仿宋" w:eastAsia="仿宋_GB2312" w:cs="仿宋"/>
                <w:color w:val="000000" w:themeColor="text1"/>
                <w:kern w:val="0"/>
                <w:sz w:val="24"/>
              </w:rPr>
              <w:br w:type="textWrapping"/>
            </w:r>
            <w:r>
              <w:rPr>
                <w:rFonts w:hint="eastAsia" w:ascii="仿宋_GB2312" w:hAnsi="仿宋" w:eastAsia="仿宋_GB2312" w:cs="仿宋"/>
                <w:color w:val="000000" w:themeColor="text1"/>
                <w:kern w:val="0"/>
                <w:sz w:val="24"/>
              </w:rPr>
              <w:t>自行管理的单位和受托管理的物业服务企业应当按照住房城乡建设行政主管部门的规定建立房屋建筑使用安全管理档案。</w:t>
            </w:r>
          </w:p>
          <w:p>
            <w:pPr>
              <w:pStyle w:val="47"/>
              <w:snapToGrid w:val="0"/>
              <w:spacing w:after="0" w:line="400" w:lineRule="exact"/>
              <w:ind w:left="0" w:leftChars="0" w:firstLine="482"/>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第二十九条</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违反本办法第七条规定，未按照规定建立房屋建筑使用安全管理档案并如实记录的，由住房城乡建设行政主管部门责令限期改正；并可以处1万元以上3万元以下罚款。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0" w:hRule="atLeast"/>
          <w:jc w:val="center"/>
        </w:trPr>
        <w:tc>
          <w:tcPr>
            <w:tcW w:w="1435" w:type="dxa"/>
            <w:vMerge w:val="continue"/>
            <w:tcBorders>
              <w:tl2br w:val="nil"/>
              <w:tr2bl w:val="nil"/>
            </w:tcBorders>
            <w:vAlign w:val="center"/>
          </w:tcPr>
          <w:p>
            <w:pPr>
              <w:snapToGrid w:val="0"/>
              <w:spacing w:line="400" w:lineRule="exact"/>
              <w:jc w:val="center"/>
              <w:rPr>
                <w:rFonts w:ascii="仿宋_GB2312" w:hAnsi="宋体" w:eastAsia="仿宋_GB2312" w:cs="宋体"/>
                <w:color w:val="000000" w:themeColor="text1"/>
                <w:sz w:val="24"/>
              </w:rPr>
            </w:pPr>
          </w:p>
        </w:tc>
        <w:tc>
          <w:tcPr>
            <w:tcW w:w="1812" w:type="dxa"/>
            <w:tcBorders>
              <w:tl2br w:val="nil"/>
              <w:tr2bl w:val="nil"/>
            </w:tcBorders>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（二）配备安全管理员</w:t>
            </w:r>
          </w:p>
        </w:tc>
        <w:tc>
          <w:tcPr>
            <w:tcW w:w="1800" w:type="dxa"/>
            <w:tcBorders>
              <w:tl2br w:val="nil"/>
              <w:tr2bl w:val="nil"/>
            </w:tcBorders>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《北京市房屋建筑使用安全管理办法》</w:t>
            </w:r>
          </w:p>
        </w:tc>
        <w:tc>
          <w:tcPr>
            <w:tcW w:w="8508" w:type="dxa"/>
            <w:tcBorders>
              <w:tl2br w:val="nil"/>
              <w:tr2bl w:val="nil"/>
            </w:tcBorders>
            <w:vAlign w:val="center"/>
          </w:tcPr>
          <w:p>
            <w:pPr>
              <w:pStyle w:val="47"/>
              <w:snapToGrid w:val="0"/>
              <w:spacing w:after="0" w:line="400" w:lineRule="exact"/>
              <w:ind w:left="0" w:leftChars="0" w:firstLine="482"/>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第四条第三款</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自行管理的单位和受托管理的物业服务企业应当配备房屋建筑安全管理员。安全管理员应当具备房屋建筑结构和设施设备安全管理的专业知识。</w:t>
            </w:r>
          </w:p>
          <w:p>
            <w:pPr>
              <w:pStyle w:val="47"/>
              <w:snapToGrid w:val="0"/>
              <w:spacing w:after="0" w:line="400" w:lineRule="exact"/>
              <w:ind w:left="0" w:leftChars="0" w:firstLine="482"/>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第二十八条</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违反本办法第四条第三款规定，自行管理的单位或者受托管理的物业服务企业未配备安全管理员的，由住房城乡建设行政主管部门责令限期改正；拒不改正的，处1万元以上3万元以下罚款。</w:t>
            </w:r>
          </w:p>
          <w:p>
            <w:pPr>
              <w:pStyle w:val="47"/>
              <w:snapToGrid w:val="0"/>
              <w:spacing w:after="0" w:line="400" w:lineRule="exact"/>
              <w:ind w:left="0" w:leftChars="0" w:firstLine="0" w:firstLineChars="0"/>
              <w:rPr>
                <w:rFonts w:ascii="仿宋_GB2312" w:hAnsi="仿宋" w:eastAsia="仿宋_GB2312" w:cs="仿宋"/>
                <w:color w:val="000000" w:themeColor="text1"/>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435" w:type="dxa"/>
            <w:vMerge w:val="continue"/>
            <w:tcBorders>
              <w:tl2br w:val="nil"/>
              <w:tr2bl w:val="nil"/>
            </w:tcBorders>
            <w:vAlign w:val="center"/>
          </w:tcPr>
          <w:p>
            <w:pPr>
              <w:snapToGrid w:val="0"/>
              <w:spacing w:line="400" w:lineRule="exact"/>
              <w:jc w:val="center"/>
              <w:rPr>
                <w:rFonts w:ascii="仿宋_GB2312" w:hAnsi="宋体" w:eastAsia="仿宋_GB2312" w:cs="宋体"/>
                <w:color w:val="000000" w:themeColor="text1"/>
                <w:sz w:val="24"/>
              </w:rPr>
            </w:pPr>
          </w:p>
        </w:tc>
        <w:tc>
          <w:tcPr>
            <w:tcW w:w="1812" w:type="dxa"/>
            <w:tcBorders>
              <w:tl2br w:val="nil"/>
              <w:tr2bl w:val="nil"/>
            </w:tcBorders>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（三）违反国家规定，制造、储存、使用、处置爆炸性、毒害性、放射性、腐蚀性物质或者传染病病原体等危险物质</w:t>
            </w:r>
          </w:p>
        </w:tc>
        <w:tc>
          <w:tcPr>
            <w:tcW w:w="1800" w:type="dxa"/>
            <w:tcBorders>
              <w:tl2br w:val="nil"/>
              <w:tr2bl w:val="nil"/>
            </w:tcBorders>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《北京市物业管理条例》</w:t>
            </w:r>
            <w:r>
              <w:rPr>
                <w:rFonts w:hint="eastAsia" w:ascii="仿宋_GB2312" w:hAnsi="仿宋" w:eastAsia="仿宋_GB2312" w:cs="仿宋"/>
                <w:color w:val="000000" w:themeColor="text1"/>
                <w:kern w:val="0"/>
                <w:sz w:val="24"/>
              </w:rPr>
              <w:t>《治安管理处罚法》《危险化学品安全管理条例》《北京市烟花爆竹安全管理规定》</w:t>
            </w:r>
          </w:p>
        </w:tc>
        <w:tc>
          <w:tcPr>
            <w:tcW w:w="8508" w:type="dxa"/>
            <w:tcBorders>
              <w:tl2br w:val="nil"/>
              <w:tr2bl w:val="nil"/>
            </w:tcBorders>
            <w:vAlign w:val="center"/>
          </w:tcPr>
          <w:p>
            <w:pPr>
              <w:pStyle w:val="47"/>
              <w:snapToGrid w:val="0"/>
              <w:spacing w:after="0" w:line="400" w:lineRule="exact"/>
              <w:ind w:left="0" w:leftChars="0" w:firstLine="482"/>
              <w:jc w:val="left"/>
              <w:rPr>
                <w:rFonts w:ascii="仿宋_GB2312" w:hAnsi="仿宋" w:eastAsia="仿宋_GB2312" w:cs="仿宋"/>
                <w:b/>
                <w:color w:val="000000" w:themeColor="text1"/>
                <w:sz w:val="24"/>
              </w:rPr>
            </w:pPr>
            <w:r>
              <w:rPr>
                <w:rFonts w:hint="eastAsia" w:ascii="仿宋_GB2312" w:hAnsi="仿宋" w:eastAsia="仿宋_GB2312" w:cs="仿宋"/>
                <w:b/>
                <w:color w:val="000000" w:themeColor="text1"/>
                <w:sz w:val="24"/>
              </w:rPr>
              <w:t>依据《北京市物业管理条例》：</w:t>
            </w:r>
          </w:p>
          <w:p>
            <w:pPr>
              <w:pStyle w:val="47"/>
              <w:snapToGrid w:val="0"/>
              <w:spacing w:after="0" w:line="400" w:lineRule="exact"/>
              <w:ind w:left="0" w:leftChars="0" w:firstLine="482"/>
              <w:jc w:val="left"/>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第七十八条第二款第四项</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业主、物业使用人、物业服务人等不得实施下列行为：</w:t>
            </w:r>
          </w:p>
          <w:p>
            <w:pPr>
              <w:pStyle w:val="47"/>
              <w:snapToGrid w:val="0"/>
              <w:spacing w:after="0" w:line="400" w:lineRule="exact"/>
              <w:ind w:left="0" w:leftChars="0" w:firstLine="480"/>
              <w:jc w:val="left"/>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（四）违反国家规定，制造、储存、使用、处置爆炸性、毒害性、放射性、腐蚀性物质或者传染病病原体等危险物质。</w:t>
            </w:r>
          </w:p>
          <w:p>
            <w:pPr>
              <w:pStyle w:val="47"/>
              <w:snapToGrid w:val="0"/>
              <w:spacing w:after="0" w:line="400" w:lineRule="exact"/>
              <w:ind w:left="0" w:leftChars="0" w:firstLine="482"/>
              <w:jc w:val="left"/>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第九十八条第四项</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物业管理区域内有下列行为之一的，由有关主管部门按照下列规定予以查处；</w:t>
            </w:r>
          </w:p>
          <w:p>
            <w:pPr>
              <w:pStyle w:val="47"/>
              <w:snapToGrid w:val="0"/>
              <w:spacing w:after="0" w:line="400" w:lineRule="exact"/>
              <w:ind w:left="0" w:leftChars="0" w:firstLine="480"/>
              <w:jc w:val="left"/>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（四）违反本条例第七十八条第二款第（四）项规定的，由公安机关依照治安管理处罚法律法规予以处罚。</w:t>
            </w:r>
          </w:p>
          <w:p>
            <w:pPr>
              <w:pStyle w:val="47"/>
              <w:snapToGrid w:val="0"/>
              <w:spacing w:after="0" w:line="400" w:lineRule="exact"/>
              <w:ind w:left="0" w:leftChars="0" w:firstLine="482"/>
              <w:jc w:val="left"/>
              <w:rPr>
                <w:rFonts w:ascii="仿宋_GB2312" w:hAnsi="仿宋" w:eastAsia="仿宋_GB2312" w:cs="仿宋"/>
                <w:b/>
                <w:color w:val="000000" w:themeColor="text1"/>
                <w:kern w:val="0"/>
                <w:sz w:val="24"/>
              </w:rPr>
            </w:pPr>
            <w:r>
              <w:rPr>
                <w:rFonts w:hint="eastAsia" w:ascii="仿宋_GB2312" w:hAnsi="仿宋" w:eastAsia="仿宋_GB2312" w:cs="仿宋"/>
                <w:b/>
                <w:color w:val="000000" w:themeColor="text1"/>
                <w:kern w:val="0"/>
                <w:sz w:val="24"/>
              </w:rPr>
              <w:t>依据《治安管理处罚法》：</w:t>
            </w:r>
          </w:p>
          <w:p>
            <w:pPr>
              <w:pStyle w:val="47"/>
              <w:snapToGrid w:val="0"/>
              <w:spacing w:after="0" w:line="400" w:lineRule="exact"/>
              <w:ind w:left="0" w:leftChars="0" w:firstLine="482"/>
              <w:jc w:val="left"/>
              <w:rPr>
                <w:rFonts w:ascii="仿宋_GB2312" w:hAnsi="仿宋" w:eastAsia="仿宋_GB2312" w:cs="仿宋"/>
                <w:color w:val="000000" w:themeColor="text1"/>
                <w:kern w:val="0"/>
                <w:sz w:val="24"/>
              </w:rPr>
            </w:pPr>
            <w:r>
              <w:rPr>
                <w:rFonts w:hint="eastAsia" w:ascii="仿宋_GB2312" w:hAnsi="仿宋" w:eastAsia="仿宋_GB2312" w:cs="仿宋"/>
                <w:b/>
                <w:color w:val="000000" w:themeColor="text1"/>
                <w:kern w:val="0"/>
                <w:sz w:val="24"/>
              </w:rPr>
              <w:t>第三十条</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违反国家规定，制造、买卖、储存、运输、邮寄、携带、使用、提供、处置爆炸性、毒害性、放射性、腐蚀性物质或者传染病病原体等危险物质的，处十日以上十五日以下拘留；情节较轻的，处五日以上十日以下拘留。</w:t>
            </w:r>
          </w:p>
          <w:p>
            <w:pPr>
              <w:pStyle w:val="47"/>
              <w:snapToGrid w:val="0"/>
              <w:spacing w:after="0" w:line="400" w:lineRule="exact"/>
              <w:ind w:left="0" w:leftChars="0" w:firstLine="482"/>
              <w:jc w:val="left"/>
              <w:rPr>
                <w:rFonts w:ascii="仿宋_GB2312" w:hAnsi="仿宋" w:eastAsia="仿宋_GB2312" w:cs="仿宋"/>
                <w:b/>
                <w:color w:val="000000" w:themeColor="text1"/>
                <w:kern w:val="0"/>
                <w:sz w:val="24"/>
              </w:rPr>
            </w:pPr>
            <w:r>
              <w:rPr>
                <w:rFonts w:hint="eastAsia" w:ascii="仿宋_GB2312" w:hAnsi="仿宋" w:eastAsia="仿宋_GB2312" w:cs="仿宋"/>
                <w:b/>
                <w:color w:val="000000" w:themeColor="text1"/>
                <w:kern w:val="0"/>
                <w:sz w:val="24"/>
              </w:rPr>
              <w:t>依据《危险化学品安全管理条例》：</w:t>
            </w:r>
          </w:p>
          <w:p>
            <w:pPr>
              <w:pStyle w:val="47"/>
              <w:snapToGrid w:val="0"/>
              <w:spacing w:after="0" w:line="400" w:lineRule="exact"/>
              <w:ind w:left="0" w:leftChars="0" w:firstLine="482"/>
              <w:jc w:val="left"/>
              <w:rPr>
                <w:rFonts w:ascii="仿宋_GB2312" w:hAnsi="仿宋" w:eastAsia="仿宋_GB2312" w:cs="仿宋"/>
                <w:color w:val="000000" w:themeColor="text1"/>
                <w:kern w:val="0"/>
                <w:sz w:val="24"/>
              </w:rPr>
            </w:pPr>
            <w:r>
              <w:rPr>
                <w:rFonts w:hint="eastAsia" w:ascii="仿宋_GB2312" w:hAnsi="仿宋" w:eastAsia="仿宋_GB2312" w:cs="仿宋"/>
                <w:b/>
                <w:color w:val="000000" w:themeColor="text1"/>
                <w:kern w:val="0"/>
                <w:sz w:val="24"/>
              </w:rPr>
              <w:t>第八十一条</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有下列情形之一的，由公安机关责令改正，可以处1万元以下的罚款；拒不改正的，处1万元以上5万元以下的罚款：（三）储存剧毒化学品的单位未将剧毒化学品的储存数量、储存地点以及管理人员的情况报所在地县级人民政府公安机关备案的。</w:t>
            </w:r>
          </w:p>
          <w:p>
            <w:pPr>
              <w:pStyle w:val="47"/>
              <w:snapToGrid w:val="0"/>
              <w:spacing w:after="0" w:line="400" w:lineRule="exact"/>
              <w:ind w:left="0" w:leftChars="0" w:firstLine="482"/>
              <w:jc w:val="left"/>
              <w:rPr>
                <w:rFonts w:ascii="仿宋_GB2312" w:hAnsi="仿宋" w:eastAsia="仿宋_GB2312" w:cs="仿宋"/>
                <w:b/>
                <w:color w:val="000000" w:themeColor="text1"/>
                <w:kern w:val="0"/>
                <w:sz w:val="24"/>
              </w:rPr>
            </w:pPr>
            <w:r>
              <w:rPr>
                <w:rFonts w:hint="eastAsia" w:ascii="仿宋_GB2312" w:hAnsi="仿宋" w:eastAsia="仿宋_GB2312" w:cs="仿宋"/>
                <w:b/>
                <w:color w:val="000000" w:themeColor="text1"/>
                <w:kern w:val="0"/>
                <w:sz w:val="24"/>
              </w:rPr>
              <w:t>依据《北京市烟花爆竹安全管理规定》：</w:t>
            </w:r>
          </w:p>
          <w:p>
            <w:pPr>
              <w:pStyle w:val="47"/>
              <w:snapToGrid w:val="0"/>
              <w:spacing w:after="0" w:line="400" w:lineRule="exact"/>
              <w:ind w:left="0" w:leftChars="0" w:firstLine="482"/>
              <w:jc w:val="left"/>
              <w:rPr>
                <w:rFonts w:ascii="仿宋_GB2312" w:hAnsi="仿宋" w:eastAsia="仿宋_GB2312" w:cs="仿宋"/>
                <w:color w:val="000000" w:themeColor="text1"/>
                <w:kern w:val="0"/>
                <w:sz w:val="24"/>
              </w:rPr>
            </w:pPr>
            <w:r>
              <w:rPr>
                <w:rFonts w:hint="eastAsia" w:ascii="仿宋_GB2312" w:hAnsi="仿宋" w:eastAsia="仿宋_GB2312" w:cs="仿宋"/>
                <w:b/>
                <w:color w:val="000000" w:themeColor="text1"/>
                <w:kern w:val="0"/>
                <w:sz w:val="24"/>
              </w:rPr>
              <w:t>第十九条</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单位和个人燃放烟花爆竹的，应当从具有许可证的销售网点购买，燃放时应当按照燃放说明正确、安全地燃放，并应当遵守下列规定：</w:t>
            </w:r>
          </w:p>
          <w:p>
            <w:pPr>
              <w:pStyle w:val="47"/>
              <w:snapToGrid w:val="0"/>
              <w:spacing w:after="0" w:line="400" w:lineRule="exact"/>
              <w:ind w:left="0" w:leftChars="0" w:firstLine="480"/>
              <w:jc w:val="left"/>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（一）不得向人群、车辆、建筑物抛掷点燃烟花爆竹；</w:t>
            </w:r>
          </w:p>
          <w:p>
            <w:pPr>
              <w:pStyle w:val="47"/>
              <w:snapToGrid w:val="0"/>
              <w:spacing w:after="0" w:line="400" w:lineRule="exact"/>
              <w:ind w:left="0" w:leftChars="0" w:firstLine="480"/>
              <w:jc w:val="left"/>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（二）不得在建筑物内、屋顶、阳台燃放或者向外抛掷烟花爆竹；</w:t>
            </w:r>
          </w:p>
          <w:p>
            <w:pPr>
              <w:pStyle w:val="47"/>
              <w:snapToGrid w:val="0"/>
              <w:spacing w:after="0" w:line="400" w:lineRule="exact"/>
              <w:ind w:left="0" w:leftChars="0" w:firstLine="480"/>
              <w:jc w:val="left"/>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（三）不得妨碍行人、车辆安全通行；</w:t>
            </w:r>
          </w:p>
          <w:p>
            <w:pPr>
              <w:pStyle w:val="47"/>
              <w:snapToGrid w:val="0"/>
              <w:spacing w:after="0" w:line="400" w:lineRule="exact"/>
              <w:ind w:left="0" w:leftChars="0" w:firstLine="480"/>
              <w:jc w:val="left"/>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（四）不得采用其他危害国家、集体和他人人身、财产安全的方式燃放烟花爆竹；</w:t>
            </w:r>
          </w:p>
          <w:p>
            <w:pPr>
              <w:pStyle w:val="47"/>
              <w:snapToGrid w:val="0"/>
              <w:spacing w:after="0" w:line="400" w:lineRule="exact"/>
              <w:ind w:left="0" w:leftChars="0" w:firstLine="480"/>
              <w:jc w:val="left"/>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（五）不得存放超过一箱或者重量超过30公斤的烟花爆竹。</w:t>
            </w:r>
          </w:p>
          <w:p>
            <w:pPr>
              <w:pStyle w:val="47"/>
              <w:snapToGrid w:val="0"/>
              <w:spacing w:after="0" w:line="400" w:lineRule="exact"/>
              <w:ind w:left="0" w:leftChars="0" w:firstLine="482"/>
              <w:jc w:val="left"/>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第二十一条</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违反本规定，有下列情形之一的，由公安部门责令改正，收缴其烟花爆竹，对单位处1000元以上5000元以下罚款，对个人处100元以上200元以下罚款；情节严重的，对单位处5000元以上3万元以下罚款，对个人处200元以上500元以下罚款：</w:t>
            </w:r>
            <w:r>
              <w:rPr>
                <w:rFonts w:hint="eastAsia" w:ascii="仿宋_GB2312" w:hAnsi="仿宋" w:eastAsia="仿宋_GB2312" w:cs="仿宋"/>
                <w:color w:val="000000" w:themeColor="text1"/>
                <w:kern w:val="0"/>
                <w:sz w:val="24"/>
              </w:rPr>
              <w:br w:type="textWrapping"/>
            </w:r>
            <w:r>
              <w:rPr>
                <w:rFonts w:hint="eastAsia" w:ascii="仿宋_GB2312" w:hAnsi="仿宋" w:eastAsia="仿宋_GB2312" w:cs="仿宋"/>
                <w:color w:val="000000" w:themeColor="text1"/>
                <w:kern w:val="0"/>
                <w:sz w:val="24"/>
              </w:rPr>
              <w:t xml:space="preserve"> </w:t>
            </w:r>
            <w:r>
              <w:rPr>
                <w:rFonts w:ascii="仿宋_GB2312" w:hAnsi="仿宋" w:eastAsia="仿宋_GB2312" w:cs="仿宋"/>
                <w:color w:val="000000" w:themeColor="text1"/>
                <w:kern w:val="0"/>
                <w:sz w:val="24"/>
              </w:rPr>
              <w:t xml:space="preserve">   </w:t>
            </w:r>
            <w:r>
              <w:rPr>
                <w:rFonts w:hint="eastAsia" w:ascii="仿宋_GB2312" w:hAnsi="仿宋" w:eastAsia="仿宋_GB2312" w:cs="仿宋"/>
                <w:color w:val="000000" w:themeColor="text1"/>
                <w:kern w:val="0"/>
                <w:sz w:val="24"/>
              </w:rPr>
              <w:t>（六）违反第十九条第一款规定，燃放、存放烟花爆竹的。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03" w:hRule="atLeast"/>
          <w:jc w:val="center"/>
        </w:trPr>
        <w:tc>
          <w:tcPr>
            <w:tcW w:w="1435" w:type="dxa"/>
            <w:vMerge w:val="continue"/>
            <w:tcBorders>
              <w:tl2br w:val="nil"/>
              <w:tr2bl w:val="nil"/>
            </w:tcBorders>
            <w:vAlign w:val="center"/>
          </w:tcPr>
          <w:p>
            <w:pPr>
              <w:snapToGrid w:val="0"/>
              <w:spacing w:line="400" w:lineRule="exact"/>
              <w:jc w:val="center"/>
              <w:rPr>
                <w:rFonts w:ascii="仿宋_GB2312" w:hAnsi="宋体" w:eastAsia="仿宋_GB2312" w:cs="宋体"/>
                <w:color w:val="000000" w:themeColor="text1"/>
                <w:sz w:val="24"/>
              </w:rPr>
            </w:pPr>
          </w:p>
        </w:tc>
        <w:tc>
          <w:tcPr>
            <w:tcW w:w="1812" w:type="dxa"/>
            <w:tcBorders>
              <w:tl2br w:val="nil"/>
              <w:tr2bl w:val="nil"/>
            </w:tcBorders>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（四）高空抛物</w:t>
            </w:r>
          </w:p>
        </w:tc>
        <w:tc>
          <w:tcPr>
            <w:tcW w:w="1800" w:type="dxa"/>
            <w:tcBorders>
              <w:tl2br w:val="nil"/>
              <w:tr2bl w:val="nil"/>
            </w:tcBorders>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《北京市物业管理条例》</w:t>
            </w:r>
          </w:p>
        </w:tc>
        <w:tc>
          <w:tcPr>
            <w:tcW w:w="8508" w:type="dxa"/>
            <w:tcBorders>
              <w:tl2br w:val="nil"/>
              <w:tr2bl w:val="nil"/>
            </w:tcBorders>
            <w:vAlign w:val="center"/>
          </w:tcPr>
          <w:p>
            <w:pPr>
              <w:pStyle w:val="47"/>
              <w:snapToGrid w:val="0"/>
              <w:spacing w:after="0" w:line="400" w:lineRule="exact"/>
              <w:ind w:left="0" w:leftChars="0" w:firstLine="482"/>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第七十八条第二款</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业主、物业使用人、物业服务人等不得实施下列行为：（七）从建筑物中抛掷物品。增加《治安管理法》、《刑法》高空抛物行为的相关规定。</w:t>
            </w:r>
          </w:p>
          <w:p>
            <w:pPr>
              <w:pStyle w:val="47"/>
              <w:snapToGrid w:val="0"/>
              <w:spacing w:after="0" w:line="400" w:lineRule="exact"/>
              <w:ind w:left="0" w:leftChars="0" w:firstLine="482"/>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第九十八条第七项</w:t>
            </w:r>
            <w:r>
              <w:rPr>
                <w:rFonts w:hint="eastAsia" w:ascii="仿宋_GB2312" w:hAnsi="仿宋" w:eastAsia="仿宋_GB2312" w:cs="仿宋"/>
                <w:color w:val="000000" w:themeColor="text1"/>
                <w:sz w:val="24"/>
              </w:rPr>
              <w:t>　（七）</w:t>
            </w:r>
            <w:r>
              <w:rPr>
                <w:rFonts w:hint="eastAsia" w:ascii="仿宋_GB2312" w:hAnsi="仿宋" w:eastAsia="仿宋_GB2312" w:cs="仿宋"/>
                <w:color w:val="000000" w:themeColor="text1"/>
                <w:kern w:val="0"/>
                <w:sz w:val="24"/>
              </w:rPr>
              <w:t>违反本条例第七十八条第二款第（七）项规定的，由公安机关给予警告，处五百元以上五千元以下的罚款。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8" w:hRule="atLeast"/>
          <w:jc w:val="center"/>
        </w:trPr>
        <w:tc>
          <w:tcPr>
            <w:tcW w:w="1435" w:type="dxa"/>
            <w:vMerge w:val="continue"/>
            <w:tcBorders>
              <w:tl2br w:val="nil"/>
              <w:tr2bl w:val="nil"/>
            </w:tcBorders>
            <w:vAlign w:val="center"/>
          </w:tcPr>
          <w:p>
            <w:pPr>
              <w:snapToGrid w:val="0"/>
              <w:spacing w:line="400" w:lineRule="exact"/>
              <w:jc w:val="center"/>
              <w:rPr>
                <w:rFonts w:ascii="仿宋_GB2312" w:hAnsi="宋体" w:eastAsia="仿宋_GB2312" w:cs="宋体"/>
                <w:color w:val="000000" w:themeColor="text1"/>
                <w:sz w:val="24"/>
              </w:rPr>
            </w:pPr>
          </w:p>
        </w:tc>
        <w:tc>
          <w:tcPr>
            <w:tcW w:w="1812" w:type="dxa"/>
            <w:tcBorders>
              <w:tl2br w:val="nil"/>
              <w:tr2bl w:val="nil"/>
            </w:tcBorders>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（五）擅自改变物业规划用途</w:t>
            </w:r>
          </w:p>
        </w:tc>
        <w:tc>
          <w:tcPr>
            <w:tcW w:w="1800" w:type="dxa"/>
            <w:tcBorders>
              <w:tl2br w:val="nil"/>
              <w:tr2bl w:val="nil"/>
            </w:tcBorders>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《北京市城乡规划条例》</w:t>
            </w:r>
          </w:p>
        </w:tc>
        <w:tc>
          <w:tcPr>
            <w:tcW w:w="8508" w:type="dxa"/>
            <w:tcBorders>
              <w:tl2br w:val="nil"/>
              <w:tr2bl w:val="nil"/>
            </w:tcBorders>
            <w:vAlign w:val="center"/>
          </w:tcPr>
          <w:p>
            <w:pPr>
              <w:pStyle w:val="47"/>
              <w:snapToGrid w:val="0"/>
              <w:spacing w:after="0" w:line="400" w:lineRule="exact"/>
              <w:ind w:left="0" w:leftChars="0" w:firstLine="482"/>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第四十六条</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规划许可确定的建设工程使用用途不得擅自改变。不动产登记簿记载的用途应当符合建设工程规划许可证或者乡村建设规划许可证确定的使用用途；有关主管部门核发的与房屋用途相关的行政许可证件应当与不动产登记簿记载的用途一致。对申请行政许可事项涉及房屋的用途与不动产登记簿记载的用途不一致的，有关主管部门不予核发行政许可证件。</w:t>
            </w:r>
          </w:p>
          <w:p>
            <w:pPr>
              <w:pStyle w:val="47"/>
              <w:snapToGrid w:val="0"/>
              <w:spacing w:after="0" w:line="400" w:lineRule="exact"/>
              <w:ind w:left="0" w:leftChars="0" w:firstLine="480"/>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建设工程使用用途确需改变的，应当符合本市规划用途管制的有关规定；有关主管部门可以按照变更后的用途依法办理相关审批手续。具体办法由市人民政府制定。</w:t>
            </w:r>
          </w:p>
          <w:p>
            <w:pPr>
              <w:pStyle w:val="47"/>
              <w:snapToGrid w:val="0"/>
              <w:spacing w:after="0" w:line="400" w:lineRule="exact"/>
              <w:ind w:left="0" w:leftChars="0" w:firstLine="482"/>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第八十四条</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建设工程投入使用后，建设单位或者所有人违反本市规划用途管制规定擅自改变使用用途的，由规划自然资源主管部门责令当事人限期改正、按照实际使用用途类型应当缴纳的土地使用权地价款数额的二倍处以罚款；情节严重的，依法无偿收回土地使用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99" w:hRule="atLeast"/>
          <w:jc w:val="center"/>
        </w:trPr>
        <w:tc>
          <w:tcPr>
            <w:tcW w:w="1435" w:type="dxa"/>
            <w:tcBorders>
              <w:tl2br w:val="nil"/>
              <w:tr2bl w:val="nil"/>
            </w:tcBorders>
            <w:vAlign w:val="center"/>
          </w:tcPr>
          <w:p>
            <w:pPr>
              <w:widowControl/>
              <w:snapToGrid w:val="0"/>
              <w:spacing w:line="400" w:lineRule="exact"/>
              <w:jc w:val="center"/>
              <w:textAlignment w:val="bottom"/>
              <w:rPr>
                <w:rFonts w:ascii="仿宋_GB2312" w:hAnsi="宋体" w:eastAsia="仿宋_GB2312" w:cs="宋体"/>
                <w:color w:val="000000" w:themeColor="text1"/>
                <w:sz w:val="24"/>
              </w:rPr>
            </w:pPr>
            <w:r>
              <w:rPr>
                <w:rFonts w:hint="eastAsia" w:ascii="仿宋_GB2312" w:hAnsi="宋体" w:eastAsia="仿宋_GB2312" w:cs="宋体"/>
                <w:color w:val="000000" w:themeColor="text1"/>
                <w:sz w:val="24"/>
              </w:rPr>
              <w:t>二、巡查养护</w:t>
            </w:r>
          </w:p>
        </w:tc>
        <w:tc>
          <w:tcPr>
            <w:tcW w:w="1812" w:type="dxa"/>
            <w:tcBorders>
              <w:tl2br w:val="nil"/>
              <w:tr2bl w:val="nil"/>
            </w:tcBorders>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安全风险的设施、区域的日常巡查和定期养护</w:t>
            </w:r>
          </w:p>
        </w:tc>
        <w:tc>
          <w:tcPr>
            <w:tcW w:w="1800" w:type="dxa"/>
            <w:tcBorders>
              <w:tl2br w:val="nil"/>
              <w:tr2bl w:val="nil"/>
            </w:tcBorders>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《北京市物业管理条例》</w:t>
            </w:r>
          </w:p>
        </w:tc>
        <w:tc>
          <w:tcPr>
            <w:tcW w:w="8508" w:type="dxa"/>
            <w:tcBorders>
              <w:tl2br w:val="nil"/>
              <w:tr2bl w:val="nil"/>
            </w:tcBorders>
            <w:vAlign w:val="center"/>
          </w:tcPr>
          <w:p>
            <w:pPr>
              <w:pStyle w:val="47"/>
              <w:snapToGrid w:val="0"/>
              <w:spacing w:after="0" w:line="400" w:lineRule="exact"/>
              <w:ind w:left="0" w:leftChars="0" w:firstLine="482"/>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第八十八条第一款</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物业服务人应当对物业管理区域内的电梯、消防设施等易于发生安全风险的设施设备和部位加强日常巡查和定期养护；采取必要的安全保障措施，防止建筑物、构筑物或者其他设施及其搁置物、悬挂物发生脱落、坠落。</w:t>
            </w:r>
          </w:p>
          <w:p>
            <w:pPr>
              <w:pStyle w:val="47"/>
              <w:snapToGrid w:val="0"/>
              <w:spacing w:after="0" w:line="400" w:lineRule="exact"/>
              <w:ind w:left="0" w:leftChars="0" w:firstLine="482"/>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第一百条</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物业服务人违反本条例第八十八条第一款规定的，由区住房和城乡建设或者房屋主管部门责令限期改正，处二万元以上五万元以下的罚款。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93" w:hRule="atLeast"/>
          <w:jc w:val="center"/>
        </w:trPr>
        <w:tc>
          <w:tcPr>
            <w:tcW w:w="1435" w:type="dxa"/>
            <w:vMerge w:val="restart"/>
            <w:tcBorders>
              <w:tl2br w:val="nil"/>
              <w:tr2bl w:val="nil"/>
            </w:tcBorders>
            <w:vAlign w:val="center"/>
          </w:tcPr>
          <w:p>
            <w:pPr>
              <w:widowControl/>
              <w:snapToGrid w:val="0"/>
              <w:spacing w:line="400" w:lineRule="exact"/>
              <w:jc w:val="center"/>
              <w:textAlignment w:val="bottom"/>
              <w:rPr>
                <w:rFonts w:ascii="仿宋_GB2312" w:hAnsi="宋体" w:eastAsia="仿宋_GB2312" w:cs="宋体"/>
                <w:color w:val="000000" w:themeColor="text1"/>
                <w:sz w:val="24"/>
              </w:rPr>
            </w:pPr>
            <w:r>
              <w:rPr>
                <w:rFonts w:hint="eastAsia" w:ascii="仿宋_GB2312" w:hAnsi="宋体" w:eastAsia="仿宋_GB2312" w:cs="宋体"/>
                <w:color w:val="000000" w:themeColor="text1"/>
                <w:sz w:val="24"/>
              </w:rPr>
              <w:t>三、保安管理</w:t>
            </w:r>
          </w:p>
        </w:tc>
        <w:tc>
          <w:tcPr>
            <w:tcW w:w="1812" w:type="dxa"/>
            <w:tcBorders>
              <w:tl2br w:val="nil"/>
              <w:tr2bl w:val="nil"/>
            </w:tcBorders>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（一）项目交接</w:t>
            </w:r>
          </w:p>
        </w:tc>
        <w:tc>
          <w:tcPr>
            <w:tcW w:w="1800" w:type="dxa"/>
            <w:tcBorders>
              <w:tl2br w:val="nil"/>
              <w:tr2bl w:val="nil"/>
            </w:tcBorders>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《北京市物业管理条例》</w:t>
            </w:r>
          </w:p>
        </w:tc>
        <w:tc>
          <w:tcPr>
            <w:tcW w:w="8508" w:type="dxa"/>
            <w:tcBorders>
              <w:tl2br w:val="nil"/>
              <w:tr2bl w:val="nil"/>
            </w:tcBorders>
            <w:vAlign w:val="center"/>
          </w:tcPr>
          <w:p>
            <w:pPr>
              <w:pStyle w:val="47"/>
              <w:snapToGrid w:val="0"/>
              <w:spacing w:after="0" w:line="400" w:lineRule="exact"/>
              <w:ind w:left="0" w:leftChars="0" w:firstLine="482"/>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第七十六条</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原物业服务人拒不移交有关资料或者财物的，或者拒不退出物业管理区域的，业主委员会或者物业管理委员会可以向街道办事处、乡镇人民政府、区住房和城乡建设或者房屋主管部门报告，并向辖区内公安机关请求协助。</w:t>
            </w:r>
          </w:p>
          <w:p>
            <w:pPr>
              <w:pStyle w:val="47"/>
              <w:snapToGrid w:val="0"/>
              <w:spacing w:after="0" w:line="400" w:lineRule="exact"/>
              <w:ind w:left="0" w:leftChars="0" w:firstLine="482"/>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第九十七条</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物业服务人有违反治安管理行为的，由公安机关依法给予治安管理处罚。</w:t>
            </w:r>
          </w:p>
          <w:p>
            <w:pPr>
              <w:pStyle w:val="47"/>
              <w:snapToGrid w:val="0"/>
              <w:spacing w:after="0" w:line="400" w:lineRule="exact"/>
              <w:ind w:left="0" w:leftChars="0" w:firstLine="480"/>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对物业服务人员违反治安管理行为的相关规定应该引《北京市物业管理条例》第七十六条第一款的规定内容。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19" w:hRule="atLeast"/>
          <w:jc w:val="center"/>
        </w:trPr>
        <w:tc>
          <w:tcPr>
            <w:tcW w:w="1435" w:type="dxa"/>
            <w:vMerge w:val="continue"/>
            <w:tcBorders>
              <w:tl2br w:val="nil"/>
              <w:tr2bl w:val="nil"/>
            </w:tcBorders>
            <w:vAlign w:val="center"/>
          </w:tcPr>
          <w:p>
            <w:pPr>
              <w:snapToGrid w:val="0"/>
              <w:spacing w:line="400" w:lineRule="exact"/>
              <w:jc w:val="center"/>
              <w:rPr>
                <w:rFonts w:ascii="仿宋_GB2312" w:hAnsi="宋体" w:eastAsia="仿宋_GB2312" w:cs="宋体"/>
                <w:color w:val="000000" w:themeColor="text1"/>
                <w:sz w:val="24"/>
              </w:rPr>
            </w:pPr>
          </w:p>
        </w:tc>
        <w:tc>
          <w:tcPr>
            <w:tcW w:w="1812" w:type="dxa"/>
            <w:tcBorders>
              <w:tl2br w:val="nil"/>
              <w:tr2bl w:val="nil"/>
            </w:tcBorders>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（二）保安资质及管理</w:t>
            </w:r>
          </w:p>
        </w:tc>
        <w:tc>
          <w:tcPr>
            <w:tcW w:w="1800" w:type="dxa"/>
            <w:tcBorders>
              <w:tl2br w:val="nil"/>
              <w:tr2bl w:val="nil"/>
            </w:tcBorders>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《保安服务管理条例》</w:t>
            </w:r>
          </w:p>
        </w:tc>
        <w:tc>
          <w:tcPr>
            <w:tcW w:w="8508" w:type="dxa"/>
            <w:tcBorders>
              <w:tl2br w:val="nil"/>
              <w:tr2bl w:val="nil"/>
            </w:tcBorders>
            <w:vAlign w:val="center"/>
          </w:tcPr>
          <w:p>
            <w:pPr>
              <w:pStyle w:val="47"/>
              <w:snapToGrid w:val="0"/>
              <w:spacing w:after="0" w:line="400" w:lineRule="exact"/>
              <w:ind w:left="0" w:leftChars="0" w:firstLine="482"/>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第十三条第一款</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自行招用保安员的单位应当具有法人资格，有符合本条例规定条件的保安员，有健全的保安服务管理制度、岗位责任制度和保安员管理制度。</w:t>
            </w:r>
          </w:p>
          <w:p>
            <w:pPr>
              <w:pStyle w:val="47"/>
              <w:snapToGrid w:val="0"/>
              <w:spacing w:after="0" w:line="400" w:lineRule="exact"/>
              <w:ind w:left="0" w:leftChars="0" w:firstLine="482"/>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第四十二条第四项</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保安从业单位有下列情形之一的，责令限期改正，给予警告；情节严重的，并处1万元以上5万元以下的罚款；有违法所得的，没收违法所得：</w:t>
            </w:r>
          </w:p>
          <w:p>
            <w:pPr>
              <w:pStyle w:val="47"/>
              <w:snapToGrid w:val="0"/>
              <w:spacing w:after="0" w:line="400" w:lineRule="exact"/>
              <w:ind w:left="0" w:leftChars="0" w:firstLine="480"/>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（四）招用不符合本条例规定条件的人员担任保安员的。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93" w:hRule="atLeast"/>
          <w:jc w:val="center"/>
        </w:trPr>
        <w:tc>
          <w:tcPr>
            <w:tcW w:w="1435" w:type="dxa"/>
            <w:vMerge w:val="continue"/>
            <w:tcBorders>
              <w:tl2br w:val="nil"/>
              <w:tr2bl w:val="nil"/>
            </w:tcBorders>
            <w:vAlign w:val="center"/>
          </w:tcPr>
          <w:p>
            <w:pPr>
              <w:snapToGrid w:val="0"/>
              <w:spacing w:line="400" w:lineRule="exact"/>
              <w:jc w:val="center"/>
              <w:rPr>
                <w:rFonts w:ascii="仿宋_GB2312" w:hAnsi="宋体" w:eastAsia="仿宋_GB2312" w:cs="宋体"/>
                <w:color w:val="000000" w:themeColor="text1"/>
                <w:sz w:val="24"/>
              </w:rPr>
            </w:pPr>
          </w:p>
        </w:tc>
        <w:tc>
          <w:tcPr>
            <w:tcW w:w="1812" w:type="dxa"/>
            <w:tcBorders>
              <w:tl2br w:val="nil"/>
              <w:tr2bl w:val="nil"/>
            </w:tcBorders>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（三）保安招聘及备案</w:t>
            </w:r>
          </w:p>
        </w:tc>
        <w:tc>
          <w:tcPr>
            <w:tcW w:w="1800" w:type="dxa"/>
            <w:tcBorders>
              <w:tl2br w:val="nil"/>
              <w:tr2bl w:val="nil"/>
            </w:tcBorders>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《保安服务管理条例》</w:t>
            </w:r>
          </w:p>
        </w:tc>
        <w:tc>
          <w:tcPr>
            <w:tcW w:w="8508" w:type="dxa"/>
            <w:tcBorders>
              <w:tl2br w:val="nil"/>
              <w:tr2bl w:val="nil"/>
            </w:tcBorders>
            <w:vAlign w:val="center"/>
          </w:tcPr>
          <w:p>
            <w:pPr>
              <w:pStyle w:val="47"/>
              <w:snapToGrid w:val="0"/>
              <w:spacing w:after="0"/>
              <w:ind w:left="0" w:leftChars="0" w:firstLine="161"/>
              <w:rPr>
                <w:rFonts w:ascii="仿宋_GB2312" w:hAnsi="仿宋" w:eastAsia="仿宋_GB2312" w:cs="仿宋"/>
                <w:b/>
                <w:bCs/>
                <w:color w:val="000000" w:themeColor="text1"/>
                <w:kern w:val="0"/>
                <w:sz w:val="8"/>
              </w:rPr>
            </w:pPr>
          </w:p>
          <w:p>
            <w:pPr>
              <w:pStyle w:val="47"/>
              <w:snapToGrid w:val="0"/>
              <w:spacing w:after="0" w:line="400" w:lineRule="exact"/>
              <w:ind w:left="0" w:leftChars="0" w:firstLine="482"/>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第十四条条第一款</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自行招用保安员的单位，应当自开始保安服务之日起30日内向所在地设区的市级人民政府公安机关备案。</w:t>
            </w:r>
          </w:p>
          <w:p>
            <w:pPr>
              <w:pStyle w:val="47"/>
              <w:snapToGrid w:val="0"/>
              <w:spacing w:after="0" w:line="400" w:lineRule="exact"/>
              <w:ind w:left="0" w:leftChars="0" w:firstLine="480"/>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自行招用保安员的单位不再招用保安员进行保安服务的，应当自停止保安服务之日起30日内到备案的公安机关撤销备案。</w:t>
            </w:r>
          </w:p>
          <w:p>
            <w:pPr>
              <w:pStyle w:val="47"/>
              <w:snapToGrid w:val="0"/>
              <w:spacing w:after="0" w:line="400" w:lineRule="exact"/>
              <w:ind w:left="0" w:leftChars="0" w:firstLine="482"/>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第四十二条第二项</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保安从业单位有下列情形之一的，责令限期改正，给予警告；情节严重的，并处1万元以上5万元以下的罚款；有违法所得的，没收违法所得：</w:t>
            </w:r>
          </w:p>
          <w:p>
            <w:pPr>
              <w:pStyle w:val="47"/>
              <w:snapToGrid w:val="0"/>
              <w:spacing w:after="0" w:line="400" w:lineRule="exact"/>
              <w:ind w:left="0" w:leftChars="0" w:firstLine="480"/>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（二）未按照本条例的规定进行备案或者撤销备案的。</w:t>
            </w:r>
          </w:p>
          <w:p>
            <w:pPr>
              <w:pStyle w:val="47"/>
              <w:snapToGrid w:val="0"/>
              <w:spacing w:after="0"/>
              <w:ind w:left="0" w:leftChars="0" w:firstLine="160"/>
              <w:rPr>
                <w:rFonts w:ascii="仿宋_GB2312" w:hAnsi="仿宋" w:eastAsia="仿宋_GB2312" w:cs="仿宋"/>
                <w:color w:val="000000" w:themeColor="text1"/>
                <w:kern w:val="0"/>
                <w:sz w:val="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2" w:hRule="atLeast"/>
          <w:jc w:val="center"/>
        </w:trPr>
        <w:tc>
          <w:tcPr>
            <w:tcW w:w="1435" w:type="dxa"/>
            <w:vMerge w:val="continue"/>
            <w:tcBorders>
              <w:tl2br w:val="nil"/>
              <w:tr2bl w:val="nil"/>
            </w:tcBorders>
            <w:vAlign w:val="center"/>
          </w:tcPr>
          <w:p>
            <w:pPr>
              <w:snapToGrid w:val="0"/>
              <w:spacing w:line="400" w:lineRule="exact"/>
              <w:jc w:val="center"/>
              <w:rPr>
                <w:rFonts w:ascii="仿宋_GB2312" w:hAnsi="宋体" w:eastAsia="仿宋_GB2312" w:cs="宋体"/>
                <w:color w:val="000000" w:themeColor="text1"/>
                <w:sz w:val="24"/>
              </w:rPr>
            </w:pPr>
          </w:p>
        </w:tc>
        <w:tc>
          <w:tcPr>
            <w:tcW w:w="1812" w:type="dxa"/>
            <w:tcBorders>
              <w:tl2br w:val="nil"/>
              <w:tr2bl w:val="nil"/>
            </w:tcBorders>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（四）保安跨区域服务</w:t>
            </w:r>
          </w:p>
        </w:tc>
        <w:tc>
          <w:tcPr>
            <w:tcW w:w="1800" w:type="dxa"/>
            <w:tcBorders>
              <w:tl2br w:val="nil"/>
              <w:tr2bl w:val="nil"/>
            </w:tcBorders>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《保安服务管理条例》</w:t>
            </w:r>
          </w:p>
        </w:tc>
        <w:tc>
          <w:tcPr>
            <w:tcW w:w="8508" w:type="dxa"/>
            <w:tcBorders>
              <w:tl2br w:val="nil"/>
              <w:tr2bl w:val="nil"/>
            </w:tcBorders>
            <w:vAlign w:val="center"/>
          </w:tcPr>
          <w:p>
            <w:pPr>
              <w:pStyle w:val="47"/>
              <w:snapToGrid w:val="0"/>
              <w:spacing w:after="0" w:line="400" w:lineRule="exact"/>
              <w:ind w:left="0" w:leftChars="0" w:firstLine="482"/>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第十五条第一款</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自行招用保安员的单位不得在本单位以外或者物业管理区域以外提供保安服务。</w:t>
            </w:r>
          </w:p>
          <w:p>
            <w:pPr>
              <w:pStyle w:val="47"/>
              <w:snapToGrid w:val="0"/>
              <w:spacing w:after="0" w:line="400" w:lineRule="exact"/>
              <w:ind w:left="0" w:leftChars="0" w:firstLine="482"/>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第四十二条第三项</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保安从业单位有下列情形之一的，责令限期改正，给予警告；情节严重的，并处1万元以上5万元以下的罚款；有违法所得的，没收违法所得：</w:t>
            </w:r>
          </w:p>
          <w:p>
            <w:pPr>
              <w:pStyle w:val="47"/>
              <w:snapToGrid w:val="0"/>
              <w:spacing w:after="0" w:line="400" w:lineRule="exact"/>
              <w:ind w:left="0" w:leftChars="0" w:firstLine="480"/>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（三）自行招用保安员的单位在本单位以外或者物业管理区域以外开展保安服务的。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77" w:hRule="atLeast"/>
          <w:jc w:val="center"/>
        </w:trPr>
        <w:tc>
          <w:tcPr>
            <w:tcW w:w="1435" w:type="dxa"/>
            <w:vMerge w:val="restart"/>
            <w:tcBorders>
              <w:tl2br w:val="nil"/>
              <w:tr2bl w:val="nil"/>
            </w:tcBorders>
            <w:vAlign w:val="center"/>
          </w:tcPr>
          <w:p>
            <w:pPr>
              <w:widowControl/>
              <w:snapToGrid w:val="0"/>
              <w:spacing w:line="400" w:lineRule="exact"/>
              <w:jc w:val="center"/>
              <w:textAlignment w:val="bottom"/>
              <w:rPr>
                <w:rFonts w:ascii="仿宋_GB2312" w:hAnsi="宋体" w:eastAsia="仿宋_GB2312" w:cs="宋体"/>
                <w:color w:val="000000" w:themeColor="text1"/>
                <w:sz w:val="24"/>
              </w:rPr>
            </w:pPr>
            <w:r>
              <w:rPr>
                <w:rFonts w:hint="eastAsia" w:ascii="仿宋_GB2312" w:hAnsi="宋体" w:eastAsia="仿宋_GB2312" w:cs="宋体"/>
                <w:color w:val="000000" w:themeColor="text1"/>
                <w:sz w:val="24"/>
              </w:rPr>
              <w:t>四、人防管理</w:t>
            </w:r>
          </w:p>
        </w:tc>
        <w:tc>
          <w:tcPr>
            <w:tcW w:w="1812" w:type="dxa"/>
            <w:tcBorders>
              <w:tl2br w:val="nil"/>
              <w:tr2bl w:val="nil"/>
            </w:tcBorders>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（一）侵占防空设施</w:t>
            </w:r>
          </w:p>
        </w:tc>
        <w:tc>
          <w:tcPr>
            <w:tcW w:w="1800" w:type="dxa"/>
            <w:tcBorders>
              <w:tl2br w:val="nil"/>
              <w:tr2bl w:val="nil"/>
            </w:tcBorders>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《中华人民共和国人民防空法》</w:t>
            </w:r>
          </w:p>
        </w:tc>
        <w:tc>
          <w:tcPr>
            <w:tcW w:w="8508" w:type="dxa"/>
            <w:tcBorders>
              <w:tl2br w:val="nil"/>
              <w:tr2bl w:val="nil"/>
            </w:tcBorders>
            <w:vAlign w:val="center"/>
          </w:tcPr>
          <w:p>
            <w:pPr>
              <w:pStyle w:val="47"/>
              <w:snapToGrid w:val="0"/>
              <w:spacing w:after="0" w:line="400" w:lineRule="exact"/>
              <w:ind w:left="0" w:leftChars="0" w:firstLine="482"/>
              <w:rPr>
                <w:rFonts w:ascii="仿宋_GB2312" w:hAnsi="仿宋" w:eastAsia="仿宋_GB2312" w:cs="仿宋"/>
                <w:b/>
                <w:bCs/>
                <w:color w:val="000000" w:themeColor="text1"/>
                <w:kern w:val="0"/>
                <w:sz w:val="24"/>
              </w:rPr>
            </w:pPr>
          </w:p>
          <w:p>
            <w:pPr>
              <w:pStyle w:val="47"/>
              <w:snapToGrid w:val="0"/>
              <w:spacing w:after="0" w:line="400" w:lineRule="exact"/>
              <w:ind w:left="0" w:leftChars="0" w:firstLine="482"/>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第九条</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国家保护人民防空设施不受侵害。禁止任何组织或者个人破坏、侵占人民防空设施。</w:t>
            </w:r>
          </w:p>
          <w:p>
            <w:pPr>
              <w:pStyle w:val="47"/>
              <w:snapToGrid w:val="0"/>
              <w:spacing w:after="0" w:line="400" w:lineRule="exact"/>
              <w:ind w:left="0" w:leftChars="0" w:firstLine="482"/>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第四十九条第一项</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有下列行为之一的，由县级以上人民政府人民防空主管部门对当事人给予警告，并责令限期改正违法行为，可以对个人并处五千元以下的罚款、对单位并处一万元至五万元的罚款；造成损失的，应当依法赔偿损失：</w:t>
            </w:r>
          </w:p>
          <w:p>
            <w:pPr>
              <w:pStyle w:val="47"/>
              <w:numPr>
                <w:ilvl w:val="0"/>
                <w:numId w:val="10"/>
              </w:numPr>
              <w:snapToGrid w:val="0"/>
              <w:spacing w:after="0" w:line="400" w:lineRule="exact"/>
              <w:ind w:leftChars="0" w:firstLineChars="0"/>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侵占人民防空工程的。</w:t>
            </w:r>
          </w:p>
          <w:p>
            <w:pPr>
              <w:pStyle w:val="47"/>
              <w:snapToGrid w:val="0"/>
              <w:spacing w:after="0" w:line="400" w:lineRule="exact"/>
              <w:ind w:left="480" w:leftChars="0" w:firstLine="0" w:firstLineChars="0"/>
              <w:rPr>
                <w:rFonts w:ascii="仿宋_GB2312" w:hAnsi="仿宋" w:eastAsia="仿宋_GB2312" w:cs="仿宋"/>
                <w:color w:val="000000" w:themeColor="text1"/>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80" w:hRule="atLeast"/>
          <w:jc w:val="center"/>
        </w:trPr>
        <w:tc>
          <w:tcPr>
            <w:tcW w:w="1435" w:type="dxa"/>
            <w:vMerge w:val="continue"/>
            <w:tcBorders>
              <w:tl2br w:val="nil"/>
              <w:tr2bl w:val="nil"/>
            </w:tcBorders>
            <w:vAlign w:val="center"/>
          </w:tcPr>
          <w:p>
            <w:pPr>
              <w:snapToGrid w:val="0"/>
              <w:spacing w:line="400" w:lineRule="exact"/>
              <w:jc w:val="center"/>
              <w:rPr>
                <w:rFonts w:ascii="仿宋_GB2312" w:hAnsi="宋体" w:eastAsia="仿宋_GB2312" w:cs="宋体"/>
                <w:color w:val="000000" w:themeColor="text1"/>
                <w:sz w:val="24"/>
              </w:rPr>
            </w:pPr>
          </w:p>
        </w:tc>
        <w:tc>
          <w:tcPr>
            <w:tcW w:w="1812" w:type="dxa"/>
            <w:tcBorders>
              <w:tl2br w:val="nil"/>
              <w:tr2bl w:val="nil"/>
            </w:tcBorders>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（二）防空主体结构、设备设施、危害使用</w:t>
            </w:r>
          </w:p>
        </w:tc>
        <w:tc>
          <w:tcPr>
            <w:tcW w:w="1800" w:type="dxa"/>
            <w:tcBorders>
              <w:tl2br w:val="nil"/>
              <w:tr2bl w:val="nil"/>
            </w:tcBorders>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《北京市人民防空条例》</w:t>
            </w:r>
          </w:p>
        </w:tc>
        <w:tc>
          <w:tcPr>
            <w:tcW w:w="8508" w:type="dxa"/>
            <w:tcBorders>
              <w:tl2br w:val="nil"/>
              <w:tr2bl w:val="nil"/>
            </w:tcBorders>
            <w:vAlign w:val="center"/>
          </w:tcPr>
          <w:p>
            <w:pPr>
              <w:pStyle w:val="47"/>
              <w:snapToGrid w:val="0"/>
              <w:spacing w:after="0" w:line="400" w:lineRule="exact"/>
              <w:ind w:left="0" w:leftChars="0" w:firstLine="482"/>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第二十二条</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第二款平时利用人民防空工程，应当保障进出道路、孔口、出入口等的畅通，不得改变人民防空工程主体结构，不得拆除人民防空工程设备设施。第三款，使用人民防空工程的单位和个人应当建立防火、防汛、治安等责任制度，确保人民防空工程安全和防空效能。</w:t>
            </w:r>
          </w:p>
          <w:p>
            <w:pPr>
              <w:pStyle w:val="47"/>
              <w:snapToGrid w:val="0"/>
              <w:spacing w:after="0" w:line="400" w:lineRule="exact"/>
              <w:ind w:left="0" w:leftChars="0" w:firstLine="482"/>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第四十五条第二项</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有下列行为之一的，由人民防空主管部门给予警告，责令限期改正，可以对个人并处5000元以下罚款，对单位并处1万元以上5万元以下罚款；造成损失的，应当依法赔偿损失：</w:t>
            </w:r>
          </w:p>
          <w:p>
            <w:pPr>
              <w:pStyle w:val="47"/>
              <w:snapToGrid w:val="0"/>
              <w:spacing w:after="0" w:line="400" w:lineRule="exact"/>
              <w:ind w:left="0" w:leftChars="0" w:firstLine="480"/>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（二）违反本条例第二十二条第二款、第三款规定，改变人民防空工程主体结构、拆除人民防空工程设备设施或者采用其他方法危害人民防空工程安全和防空效能的。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13" w:hRule="atLeast"/>
          <w:jc w:val="center"/>
        </w:trPr>
        <w:tc>
          <w:tcPr>
            <w:tcW w:w="1435" w:type="dxa"/>
            <w:vMerge w:val="continue"/>
            <w:tcBorders>
              <w:tl2br w:val="nil"/>
              <w:tr2bl w:val="nil"/>
            </w:tcBorders>
            <w:vAlign w:val="center"/>
          </w:tcPr>
          <w:p>
            <w:pPr>
              <w:snapToGrid w:val="0"/>
              <w:spacing w:line="400" w:lineRule="exact"/>
              <w:jc w:val="center"/>
              <w:rPr>
                <w:rFonts w:ascii="仿宋_GB2312" w:hAnsi="宋体" w:eastAsia="仿宋_GB2312" w:cs="宋体"/>
                <w:color w:val="000000" w:themeColor="text1"/>
                <w:sz w:val="24"/>
              </w:rPr>
            </w:pPr>
          </w:p>
        </w:tc>
        <w:tc>
          <w:tcPr>
            <w:tcW w:w="1812" w:type="dxa"/>
            <w:tcBorders>
              <w:tl2br w:val="nil"/>
              <w:tr2bl w:val="nil"/>
            </w:tcBorders>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（三）影响防空防护能力</w:t>
            </w:r>
          </w:p>
        </w:tc>
        <w:tc>
          <w:tcPr>
            <w:tcW w:w="1800" w:type="dxa"/>
            <w:tcBorders>
              <w:tl2br w:val="nil"/>
              <w:tr2bl w:val="nil"/>
            </w:tcBorders>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《北京市人民防空条例》</w:t>
            </w:r>
          </w:p>
        </w:tc>
        <w:tc>
          <w:tcPr>
            <w:tcW w:w="8508" w:type="dxa"/>
            <w:tcBorders>
              <w:tl2br w:val="nil"/>
              <w:tr2bl w:val="nil"/>
            </w:tcBorders>
            <w:vAlign w:val="center"/>
          </w:tcPr>
          <w:p>
            <w:pPr>
              <w:pStyle w:val="47"/>
              <w:snapToGrid w:val="0"/>
              <w:spacing w:after="0" w:line="400" w:lineRule="exact"/>
              <w:ind w:left="0" w:leftChars="0" w:firstLine="482"/>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第二十三条</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任何组织或者个人不得进行影响人民防空工程使用或者降低防护能力的作业，不得向人民防空工程内排放废水、废气或者倾倒废弃物。</w:t>
            </w:r>
          </w:p>
          <w:p>
            <w:pPr>
              <w:pStyle w:val="47"/>
              <w:snapToGrid w:val="0"/>
              <w:spacing w:after="0" w:line="400" w:lineRule="exact"/>
              <w:ind w:left="0" w:leftChars="0" w:firstLine="482"/>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第四十五条第三项</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有下列行为之一的，由人民防空主管部门给予警告，责令限期改正，可以对个人并处5000元以下罚款，对单位并处1万元以上5万元以下罚款；造成损失的，应当依法赔偿损失：</w:t>
            </w:r>
          </w:p>
          <w:p>
            <w:pPr>
              <w:pStyle w:val="47"/>
              <w:snapToGrid w:val="0"/>
              <w:spacing w:after="0" w:line="400" w:lineRule="exact"/>
              <w:ind w:left="0" w:leftChars="0" w:firstLine="480"/>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（三）违反本条例第二十三条规定，向人民防空工程内排入废水、废气或者倾倒废弃物的。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0" w:hRule="atLeast"/>
          <w:jc w:val="center"/>
        </w:trPr>
        <w:tc>
          <w:tcPr>
            <w:tcW w:w="1435" w:type="dxa"/>
            <w:vMerge w:val="continue"/>
            <w:tcBorders>
              <w:tl2br w:val="nil"/>
              <w:tr2bl w:val="nil"/>
            </w:tcBorders>
            <w:vAlign w:val="center"/>
          </w:tcPr>
          <w:p>
            <w:pPr>
              <w:snapToGrid w:val="0"/>
              <w:spacing w:line="400" w:lineRule="exact"/>
              <w:jc w:val="center"/>
              <w:rPr>
                <w:rFonts w:ascii="仿宋_GB2312" w:hAnsi="宋体" w:eastAsia="仿宋_GB2312" w:cs="宋体"/>
                <w:color w:val="000000" w:themeColor="text1"/>
                <w:sz w:val="24"/>
              </w:rPr>
            </w:pPr>
          </w:p>
        </w:tc>
        <w:tc>
          <w:tcPr>
            <w:tcW w:w="1812" w:type="dxa"/>
            <w:tcBorders>
              <w:tl2br w:val="nil"/>
              <w:tr2bl w:val="nil"/>
            </w:tcBorders>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（四）改造人防工程</w:t>
            </w:r>
          </w:p>
        </w:tc>
        <w:tc>
          <w:tcPr>
            <w:tcW w:w="1800" w:type="dxa"/>
            <w:tcBorders>
              <w:tl2br w:val="nil"/>
              <w:tr2bl w:val="nil"/>
            </w:tcBorders>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《北京市人民防空条例》</w:t>
            </w:r>
          </w:p>
        </w:tc>
        <w:tc>
          <w:tcPr>
            <w:tcW w:w="8508" w:type="dxa"/>
            <w:tcBorders>
              <w:tl2br w:val="nil"/>
              <w:tr2bl w:val="nil"/>
            </w:tcBorders>
            <w:vAlign w:val="center"/>
          </w:tcPr>
          <w:p>
            <w:pPr>
              <w:pStyle w:val="47"/>
              <w:snapToGrid w:val="0"/>
              <w:spacing w:after="0" w:line="400" w:lineRule="exact"/>
              <w:ind w:left="0" w:leftChars="0" w:firstLine="482"/>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第二十四条</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任何组织或者个人不得擅自改造人防工程。</w:t>
            </w:r>
          </w:p>
          <w:p>
            <w:pPr>
              <w:pStyle w:val="47"/>
              <w:snapToGrid w:val="0"/>
              <w:spacing w:after="0" w:line="400" w:lineRule="exact"/>
              <w:ind w:left="0" w:leftChars="0" w:firstLine="482"/>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第二十九条第一项</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违反本规定，有下列行为之一的，由人民防空主管部门对当事人给予警告、责令限期改正，可以对个人并处5000元以下罚款，对单位并处1万元至5万元罚款；造成损失的，应当依法赔偿损失：</w:t>
            </w:r>
          </w:p>
          <w:p>
            <w:pPr>
              <w:pStyle w:val="47"/>
              <w:snapToGrid w:val="0"/>
              <w:spacing w:after="0" w:line="400" w:lineRule="exact"/>
              <w:ind w:left="0" w:leftChars="0" w:firstLine="480"/>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（一）擅自改造、改变人防工程主体结构的。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18" w:hRule="atLeast"/>
          <w:jc w:val="center"/>
        </w:trPr>
        <w:tc>
          <w:tcPr>
            <w:tcW w:w="1435" w:type="dxa"/>
            <w:vMerge w:val="continue"/>
            <w:tcBorders>
              <w:tl2br w:val="nil"/>
              <w:tr2bl w:val="nil"/>
            </w:tcBorders>
            <w:vAlign w:val="center"/>
          </w:tcPr>
          <w:p>
            <w:pPr>
              <w:snapToGrid w:val="0"/>
              <w:spacing w:line="400" w:lineRule="exact"/>
              <w:jc w:val="center"/>
              <w:rPr>
                <w:rFonts w:ascii="仿宋_GB2312" w:hAnsi="宋体" w:eastAsia="仿宋_GB2312" w:cs="宋体"/>
                <w:color w:val="000000" w:themeColor="text1"/>
                <w:sz w:val="24"/>
              </w:rPr>
            </w:pPr>
          </w:p>
        </w:tc>
        <w:tc>
          <w:tcPr>
            <w:tcW w:w="1812" w:type="dxa"/>
            <w:tcBorders>
              <w:tl2br w:val="nil"/>
              <w:tr2bl w:val="nil"/>
            </w:tcBorders>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（五）按规定使用人防</w:t>
            </w:r>
          </w:p>
        </w:tc>
        <w:tc>
          <w:tcPr>
            <w:tcW w:w="1800" w:type="dxa"/>
            <w:tcBorders>
              <w:tl2br w:val="nil"/>
              <w:tr2bl w:val="nil"/>
            </w:tcBorders>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《北京市人民防空条例》</w:t>
            </w:r>
          </w:p>
        </w:tc>
        <w:tc>
          <w:tcPr>
            <w:tcW w:w="8508" w:type="dxa"/>
            <w:tcBorders>
              <w:tl2br w:val="nil"/>
              <w:tr2bl w:val="nil"/>
            </w:tcBorders>
            <w:vAlign w:val="center"/>
          </w:tcPr>
          <w:p>
            <w:pPr>
              <w:pStyle w:val="47"/>
              <w:snapToGrid w:val="0"/>
              <w:spacing w:after="0" w:line="400" w:lineRule="exact"/>
              <w:ind w:left="0" w:leftChars="0" w:firstLine="482"/>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第二十二条</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平时利用人民防空工程应当经所在地区、县人民防空主管部门批准，并按规定使用。根据战时需要，人民防空工程必须在规定时限内完成平战转换。</w:t>
            </w:r>
          </w:p>
          <w:p>
            <w:pPr>
              <w:pStyle w:val="47"/>
              <w:snapToGrid w:val="0"/>
              <w:spacing w:after="0" w:line="400" w:lineRule="exact"/>
              <w:ind w:left="0" w:leftChars="0" w:firstLine="482"/>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第四十七条</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违反本条例第二十二条第一款规定，平时利用人民防空工程，未经所在地区、县人民防空主管部门批准或者未按规定使用的，由人民防空主管部门责令限期改正；危害人民防空工程安全和防空效能的，可以对个人并处5000元以下罚款，对单位并处1万元以上5万元以下罚款；造成损失的，应当依法赔偿损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435" w:type="dxa"/>
            <w:vMerge w:val="restart"/>
            <w:tcBorders>
              <w:tl2br w:val="nil"/>
              <w:tr2bl w:val="nil"/>
            </w:tcBorders>
            <w:vAlign w:val="center"/>
          </w:tcPr>
          <w:p>
            <w:pPr>
              <w:snapToGrid w:val="0"/>
              <w:spacing w:line="400" w:lineRule="exact"/>
              <w:rPr>
                <w:rFonts w:ascii="仿宋_GB2312" w:hAnsi="宋体" w:eastAsia="仿宋_GB2312" w:cs="宋体"/>
                <w:color w:val="000000" w:themeColor="text1"/>
                <w:sz w:val="24"/>
              </w:rPr>
            </w:pPr>
            <w:r>
              <w:rPr>
                <w:rFonts w:hint="eastAsia" w:ascii="仿宋_GB2312" w:hAnsi="宋体" w:eastAsia="仿宋_GB2312" w:cs="宋体"/>
                <w:color w:val="000000" w:themeColor="text1"/>
                <w:sz w:val="24"/>
              </w:rPr>
              <w:t>五、地下空间管理</w:t>
            </w:r>
          </w:p>
        </w:tc>
        <w:tc>
          <w:tcPr>
            <w:tcW w:w="1812" w:type="dxa"/>
            <w:tcBorders>
              <w:tl2br w:val="nil"/>
              <w:tr2bl w:val="nil"/>
            </w:tcBorders>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（一）地下空间安全使用</w:t>
            </w:r>
          </w:p>
        </w:tc>
        <w:tc>
          <w:tcPr>
            <w:tcW w:w="1800" w:type="dxa"/>
            <w:tcBorders>
              <w:tl2br w:val="nil"/>
              <w:tr2bl w:val="nil"/>
            </w:tcBorders>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《北京市人民防空条例》</w:t>
            </w:r>
          </w:p>
        </w:tc>
        <w:tc>
          <w:tcPr>
            <w:tcW w:w="8508" w:type="dxa"/>
            <w:tcBorders>
              <w:tl2br w:val="nil"/>
              <w:tr2bl w:val="nil"/>
            </w:tcBorders>
            <w:vAlign w:val="center"/>
          </w:tcPr>
          <w:p>
            <w:pPr>
              <w:pStyle w:val="47"/>
              <w:snapToGrid w:val="0"/>
              <w:spacing w:after="0" w:line="400" w:lineRule="exact"/>
              <w:ind w:left="0" w:leftChars="0" w:firstLine="482"/>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第五条</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地下空间的安全使用责任人利用地下空间，应当遵守下列规定：（一）制定落实治安、消防、卫生、建筑等管理法律、法规、规章的具体措施。</w:t>
            </w:r>
          </w:p>
          <w:p>
            <w:pPr>
              <w:pStyle w:val="47"/>
              <w:snapToGrid w:val="0"/>
              <w:spacing w:after="0" w:line="400" w:lineRule="exact"/>
              <w:ind w:left="0" w:leftChars="0" w:firstLine="482"/>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第二十一条第一项</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地下空间安全使用责任人违反本办法第五条规定，不履行安全管理义务的，由有关部门依照下列规定处罚：</w:t>
            </w:r>
          </w:p>
          <w:p>
            <w:pPr>
              <w:pStyle w:val="47"/>
              <w:snapToGrid w:val="0"/>
              <w:spacing w:after="0" w:line="400" w:lineRule="exact"/>
              <w:ind w:left="0" w:leftChars="0" w:firstLine="480"/>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（一）违反本办法第五条第（一）项、第（二）项规定的，由人民防空主管部门、住房城乡建设行政主管部门处500元以上1000元以下罚款。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37" w:hRule="atLeast"/>
          <w:jc w:val="center"/>
        </w:trPr>
        <w:tc>
          <w:tcPr>
            <w:tcW w:w="1435" w:type="dxa"/>
            <w:vMerge w:val="continue"/>
            <w:tcBorders>
              <w:tl2br w:val="nil"/>
              <w:tr2bl w:val="nil"/>
            </w:tcBorders>
            <w:vAlign w:val="center"/>
          </w:tcPr>
          <w:p>
            <w:pPr>
              <w:snapToGrid w:val="0"/>
              <w:spacing w:line="400" w:lineRule="exact"/>
              <w:jc w:val="center"/>
              <w:rPr>
                <w:rFonts w:ascii="仿宋_GB2312" w:hAnsi="宋体" w:eastAsia="仿宋_GB2312" w:cs="宋体"/>
                <w:color w:val="000000" w:themeColor="text1"/>
                <w:sz w:val="24"/>
              </w:rPr>
            </w:pPr>
          </w:p>
        </w:tc>
        <w:tc>
          <w:tcPr>
            <w:tcW w:w="1812" w:type="dxa"/>
            <w:tcBorders>
              <w:tl2br w:val="nil"/>
              <w:tr2bl w:val="nil"/>
            </w:tcBorders>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（二）普通地下室容纳人员数量管理</w:t>
            </w:r>
          </w:p>
        </w:tc>
        <w:tc>
          <w:tcPr>
            <w:tcW w:w="1800" w:type="dxa"/>
            <w:tcBorders>
              <w:tl2br w:val="nil"/>
              <w:tr2bl w:val="nil"/>
            </w:tcBorders>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《北京市人民防空工程和普通地下室安全使用管理办法》</w:t>
            </w:r>
          </w:p>
        </w:tc>
        <w:tc>
          <w:tcPr>
            <w:tcW w:w="8508" w:type="dxa"/>
            <w:tcBorders>
              <w:tl2br w:val="nil"/>
              <w:tr2bl w:val="nil"/>
            </w:tcBorders>
            <w:vAlign w:val="center"/>
          </w:tcPr>
          <w:p>
            <w:pPr>
              <w:pStyle w:val="47"/>
              <w:snapToGrid w:val="0"/>
              <w:spacing w:after="0" w:line="400" w:lineRule="exact"/>
              <w:ind w:left="0" w:leftChars="0" w:firstLine="482"/>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第六条</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地下空间的使用人，应当遵守下列规定：（九）地下空间内所容纳的人员不得超过核定人数。核定人数的具体办法和标准，由市人民防空主管部门、住房城乡建设行政主管部门制定。</w:t>
            </w:r>
          </w:p>
          <w:p>
            <w:pPr>
              <w:pStyle w:val="47"/>
              <w:snapToGrid w:val="0"/>
              <w:spacing w:after="0" w:line="400" w:lineRule="exact"/>
              <w:ind w:left="0" w:leftChars="0" w:firstLine="482"/>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第二十二条第二款</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地下空间的使用人违反本办法第六条第（九）项规定，地下空间容纳的人员超过核定人数的，由人民防空主管部门、住房城乡建设行政主管部门责令改正，并处3万元罚款。其中对作为文化娱乐场所的，由公安机关责令改正，给予警告，责令停业整顿，并处1000元以上1万元以下罚款；情节严重的，由工商行政管理部门依法吊销营业执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435" w:type="dxa"/>
            <w:vMerge w:val="continue"/>
            <w:tcBorders>
              <w:tl2br w:val="nil"/>
              <w:tr2bl w:val="nil"/>
            </w:tcBorders>
            <w:vAlign w:val="center"/>
          </w:tcPr>
          <w:p>
            <w:pPr>
              <w:snapToGrid w:val="0"/>
              <w:spacing w:line="400" w:lineRule="exact"/>
              <w:jc w:val="center"/>
              <w:rPr>
                <w:rFonts w:ascii="仿宋_GB2312" w:hAnsi="宋体" w:eastAsia="仿宋_GB2312" w:cs="宋体"/>
                <w:color w:val="000000" w:themeColor="text1"/>
                <w:sz w:val="24"/>
              </w:rPr>
            </w:pPr>
          </w:p>
        </w:tc>
        <w:tc>
          <w:tcPr>
            <w:tcW w:w="1812" w:type="dxa"/>
            <w:tcBorders>
              <w:tl2br w:val="nil"/>
              <w:tr2bl w:val="nil"/>
            </w:tcBorders>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（三）出租、使用普通地下室登记备案</w:t>
            </w:r>
          </w:p>
        </w:tc>
        <w:tc>
          <w:tcPr>
            <w:tcW w:w="1800" w:type="dxa"/>
            <w:tcBorders>
              <w:tl2br w:val="nil"/>
              <w:tr2bl w:val="nil"/>
            </w:tcBorders>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《北京市人民防空工程和普通地下室安全使用管理办法》</w:t>
            </w:r>
          </w:p>
        </w:tc>
        <w:tc>
          <w:tcPr>
            <w:tcW w:w="8508" w:type="dxa"/>
            <w:tcBorders>
              <w:tl2br w:val="nil"/>
              <w:tr2bl w:val="nil"/>
            </w:tcBorders>
            <w:vAlign w:val="center"/>
          </w:tcPr>
          <w:p>
            <w:pPr>
              <w:pStyle w:val="47"/>
              <w:snapToGrid w:val="0"/>
              <w:spacing w:after="0" w:line="400" w:lineRule="exact"/>
              <w:ind w:left="0" w:leftChars="0" w:firstLine="482"/>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第十五条</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使用普通地下室从事商业、文化娱乐业以及其他生产经营活动或者作为居住场所的，装饰装修及使用前应当向普通地下室所在地区住房城乡建设行政主管部门办理备案。办理普通地下室备案时应当提交下列材料：</w:t>
            </w:r>
          </w:p>
          <w:p>
            <w:pPr>
              <w:pStyle w:val="47"/>
              <w:snapToGrid w:val="0"/>
              <w:spacing w:after="0" w:line="400" w:lineRule="exact"/>
              <w:ind w:left="0" w:leftChars="0" w:firstLine="480"/>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（一）使用人对使用用途、范围和期限的说明；</w:t>
            </w:r>
            <w:r>
              <w:rPr>
                <w:rFonts w:hint="eastAsia" w:ascii="仿宋_GB2312" w:hAnsi="仿宋" w:eastAsia="仿宋_GB2312" w:cs="仿宋"/>
                <w:color w:val="000000" w:themeColor="text1"/>
                <w:kern w:val="0"/>
                <w:sz w:val="24"/>
              </w:rPr>
              <w:br w:type="textWrapping"/>
            </w:r>
            <w:r>
              <w:rPr>
                <w:rFonts w:ascii="仿宋_GB2312" w:hAnsi="仿宋" w:eastAsia="仿宋_GB2312" w:cs="仿宋"/>
                <w:color w:val="000000" w:themeColor="text1"/>
                <w:kern w:val="0"/>
                <w:sz w:val="24"/>
              </w:rPr>
              <w:t xml:space="preserve">    </w:t>
            </w:r>
            <w:r>
              <w:rPr>
                <w:rFonts w:hint="eastAsia" w:ascii="仿宋_GB2312" w:hAnsi="仿宋" w:eastAsia="仿宋_GB2312" w:cs="仿宋"/>
                <w:color w:val="000000" w:themeColor="text1"/>
                <w:kern w:val="0"/>
                <w:sz w:val="24"/>
              </w:rPr>
              <w:t>（二）产权登记证明或者所有权人共同决定使用普通地下室的证明；</w:t>
            </w:r>
          </w:p>
          <w:p>
            <w:pPr>
              <w:pStyle w:val="47"/>
              <w:snapToGrid w:val="0"/>
              <w:spacing w:after="0" w:line="400" w:lineRule="exact"/>
              <w:ind w:left="0" w:leftChars="0" w:firstLine="480"/>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（三）按规划用途使用的，提交规划文件；规划用途不明确的，提交城乡规划行政主管部门对使用用途确认的文件；改变规划用途的，提交城乡规划行政主</w:t>
            </w:r>
          </w:p>
          <w:p>
            <w:pPr>
              <w:pStyle w:val="47"/>
              <w:snapToGrid w:val="0"/>
              <w:spacing w:after="0" w:line="400" w:lineRule="exact"/>
              <w:ind w:left="0" w:leftChars="0" w:firstLine="0" w:firstLineChars="0"/>
              <w:rPr>
                <w:rFonts w:ascii="仿宋_GB2312" w:hAnsi="仿宋" w:eastAsia="仿宋_GB2312" w:cs="仿宋"/>
                <w:color w:val="000000" w:themeColor="text1"/>
                <w:kern w:val="0"/>
                <w:sz w:val="24"/>
              </w:rPr>
            </w:pPr>
          </w:p>
          <w:p>
            <w:pPr>
              <w:pStyle w:val="47"/>
              <w:snapToGrid w:val="0"/>
              <w:spacing w:after="0" w:line="400" w:lineRule="exact"/>
              <w:ind w:left="0" w:leftChars="0" w:firstLine="0" w:firstLineChars="0"/>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管部门变更规划文件；</w:t>
            </w:r>
          </w:p>
          <w:p>
            <w:pPr>
              <w:pStyle w:val="47"/>
              <w:snapToGrid w:val="0"/>
              <w:spacing w:after="0" w:line="400" w:lineRule="exact"/>
              <w:ind w:left="0" w:leftChars="0" w:firstLine="480"/>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（四）卫生计生行政主管部门检查合格证明或者具有相应资质的检测机构出具的通风系统和空调系统卫生检测合格证明；</w:t>
            </w:r>
          </w:p>
          <w:p>
            <w:pPr>
              <w:pStyle w:val="47"/>
              <w:snapToGrid w:val="0"/>
              <w:spacing w:after="0" w:line="400" w:lineRule="exact"/>
              <w:ind w:left="0" w:leftChars="0" w:firstLine="480"/>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（五）依法须经消防安全检查方可投入使用、营业的，提交公安消防机构出具的消防安全检查合格证明；</w:t>
            </w:r>
          </w:p>
          <w:p>
            <w:pPr>
              <w:pStyle w:val="47"/>
              <w:snapToGrid w:val="0"/>
              <w:spacing w:after="0" w:line="400" w:lineRule="exact"/>
              <w:ind w:left="0" w:leftChars="0" w:firstLine="480"/>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（六）进行结构改造的，提交房屋安全鉴定机构出具的房屋结构安全鉴定报告；</w:t>
            </w:r>
          </w:p>
          <w:p>
            <w:pPr>
              <w:pStyle w:val="47"/>
              <w:snapToGrid w:val="0"/>
              <w:spacing w:after="0" w:line="400" w:lineRule="exact"/>
              <w:ind w:left="0" w:leftChars="0" w:firstLine="480"/>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（七）依法应当提交的其他文件。</w:t>
            </w:r>
          </w:p>
          <w:p>
            <w:pPr>
              <w:pStyle w:val="47"/>
              <w:snapToGrid w:val="0"/>
              <w:spacing w:after="0" w:line="400" w:lineRule="exact"/>
              <w:ind w:left="0" w:leftChars="0" w:firstLine="480"/>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使用人提交材料齐全的，住房城乡建设行政主管部门应当在15日内备案。备案情况发生变更的，使用人应当在30日内向住房城乡建设行政主管部门办理变更备案。</w:t>
            </w:r>
          </w:p>
          <w:p>
            <w:pPr>
              <w:pStyle w:val="47"/>
              <w:snapToGrid w:val="0"/>
              <w:spacing w:after="0" w:line="400" w:lineRule="exact"/>
              <w:ind w:left="0" w:leftChars="0" w:firstLine="482"/>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第二十四条</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违反第十五条规定，出租、使用普通地下室未依法向住房城乡建设行政主管部门登记备案的，由住房城乡建设行政主管部门责令改正，并可对从事经营活动的处1万元以上3万元以下罚款，对从事非经营活动的处500元以上1000元以下罚款。</w:t>
            </w:r>
          </w:p>
          <w:p>
            <w:pPr>
              <w:pStyle w:val="47"/>
              <w:snapToGrid w:val="0"/>
              <w:spacing w:after="0" w:line="400" w:lineRule="exact"/>
              <w:ind w:left="0" w:leftChars="0" w:firstLine="480"/>
              <w:rPr>
                <w:rFonts w:ascii="仿宋_GB2312" w:hAnsi="仿宋" w:eastAsia="仿宋_GB2312" w:cs="仿宋"/>
                <w:color w:val="000000" w:themeColor="text1"/>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37" w:hRule="atLeast"/>
          <w:jc w:val="center"/>
        </w:trPr>
        <w:tc>
          <w:tcPr>
            <w:tcW w:w="1435" w:type="dxa"/>
            <w:vMerge w:val="continue"/>
            <w:tcBorders>
              <w:tl2br w:val="nil"/>
              <w:tr2bl w:val="nil"/>
            </w:tcBorders>
            <w:vAlign w:val="center"/>
          </w:tcPr>
          <w:p>
            <w:pPr>
              <w:snapToGrid w:val="0"/>
              <w:spacing w:line="400" w:lineRule="exact"/>
              <w:jc w:val="center"/>
              <w:rPr>
                <w:rFonts w:ascii="仿宋_GB2312" w:hAnsi="宋体" w:eastAsia="仿宋_GB2312" w:cs="宋体"/>
                <w:color w:val="000000" w:themeColor="text1"/>
                <w:sz w:val="24"/>
              </w:rPr>
            </w:pPr>
          </w:p>
        </w:tc>
        <w:tc>
          <w:tcPr>
            <w:tcW w:w="1812" w:type="dxa"/>
            <w:tcBorders>
              <w:tl2br w:val="nil"/>
              <w:tr2bl w:val="nil"/>
            </w:tcBorders>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（四）地下空间制度建立、使用措施、标志牌</w:t>
            </w:r>
          </w:p>
        </w:tc>
        <w:tc>
          <w:tcPr>
            <w:tcW w:w="1800" w:type="dxa"/>
            <w:tcBorders>
              <w:tl2br w:val="nil"/>
              <w:tr2bl w:val="nil"/>
            </w:tcBorders>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《北京市人民防空工程和普通地下室安全使用管理办法》</w:t>
            </w:r>
          </w:p>
        </w:tc>
        <w:tc>
          <w:tcPr>
            <w:tcW w:w="8508" w:type="dxa"/>
            <w:tcBorders>
              <w:tl2br w:val="nil"/>
              <w:tr2bl w:val="nil"/>
            </w:tcBorders>
            <w:vAlign w:val="center"/>
          </w:tcPr>
          <w:p>
            <w:pPr>
              <w:pStyle w:val="47"/>
              <w:snapToGrid w:val="0"/>
              <w:spacing w:after="0" w:line="400" w:lineRule="exact"/>
              <w:ind w:left="0" w:leftChars="0" w:firstLine="482"/>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第五条</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地下空间的安全使用责任人利用地下空间，应当遵守下列规定：（一）制定落实治安、消防、卫生、建筑等管理法律、法规、规章的具体措施；（二）建立防火、防汛、治安、卫生等责任制度。提供给他人使用的，与使用人签订地下空间安全使用责任书，明确使用人对地下空间的安全使用义务，并对使用人履行义务的情况进行监督；发现使用人违反安全管理法律、法规、规章或者安全使用义务的，及时制止、纠正，并向有关行政主管部门报告；（六）在地下空间的入口处设置人民防空主管部门、住房城乡建设行政主管部门制发的人民防空工程、普通地下室使用标志牌。</w:t>
            </w:r>
          </w:p>
          <w:p>
            <w:pPr>
              <w:pStyle w:val="47"/>
              <w:snapToGrid w:val="0"/>
              <w:spacing w:after="0" w:line="400" w:lineRule="exact"/>
              <w:ind w:left="0" w:leftChars="0" w:firstLine="482"/>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第二十一条</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地下空间安全使用责任人违反本办法第五条规定，不履行安全管理义务的，由有关部门依照下列规定处罚：</w:t>
            </w:r>
          </w:p>
          <w:p>
            <w:pPr>
              <w:pStyle w:val="47"/>
              <w:snapToGrid w:val="0"/>
              <w:spacing w:after="0" w:line="400" w:lineRule="exact"/>
              <w:ind w:left="0" w:leftChars="0" w:firstLine="480"/>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（一）违反本办法第五条第（一）项、第（二）项规定的，由人民防空主管部门、住房城乡建设行政主管部门处500元以上1000元以下罚款；</w:t>
            </w:r>
          </w:p>
          <w:p>
            <w:pPr>
              <w:pStyle w:val="47"/>
              <w:snapToGrid w:val="0"/>
              <w:spacing w:after="0" w:line="400" w:lineRule="exact"/>
              <w:ind w:left="0" w:leftChars="0" w:firstLine="480"/>
              <w:rPr>
                <w:rFonts w:ascii="仿宋_GB2312" w:hAnsi="仿宋" w:eastAsia="仿宋_GB2312" w:cs="仿宋"/>
                <w:b/>
                <w:bCs/>
                <w:color w:val="000000" w:themeColor="text1"/>
                <w:kern w:val="0"/>
                <w:sz w:val="24"/>
              </w:rPr>
            </w:pPr>
            <w:r>
              <w:rPr>
                <w:rFonts w:hint="eastAsia" w:ascii="仿宋_GB2312" w:hAnsi="仿宋" w:eastAsia="仿宋_GB2312" w:cs="仿宋"/>
                <w:color w:val="000000" w:themeColor="text1"/>
                <w:kern w:val="0"/>
                <w:sz w:val="24"/>
              </w:rPr>
              <w:t>（二）违反本办法第五条第（六）项规定的，由人民防空主管部门、住房城乡建设行政主管部门处500元以上1000元以下罚款。</w:t>
            </w:r>
          </w:p>
        </w:tc>
      </w:tr>
    </w:tbl>
    <w:p>
      <w:pPr>
        <w:snapToGrid w:val="0"/>
        <w:rPr>
          <w:color w:val="000000" w:themeColor="text1"/>
        </w:rPr>
      </w:pPr>
    </w:p>
    <w:p>
      <w:pPr>
        <w:pStyle w:val="47"/>
        <w:rPr>
          <w:color w:val="000000" w:themeColor="text1"/>
        </w:rPr>
      </w:pPr>
      <w:r>
        <w:rPr>
          <w:color w:val="000000" w:themeColor="text1"/>
        </w:rPr>
        <w:br w:type="page"/>
      </w:r>
    </w:p>
    <w:p>
      <w:pPr>
        <w:snapToGrid w:val="0"/>
        <w:rPr>
          <w:color w:val="000000" w:themeColor="text1"/>
        </w:rPr>
      </w:pPr>
    </w:p>
    <w:tbl>
      <w:tblPr>
        <w:tblStyle w:val="26"/>
        <w:tblW w:w="1353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98"/>
        <w:gridCol w:w="1824"/>
        <w:gridCol w:w="1800"/>
        <w:gridCol w:w="85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3" w:hRule="atLeast"/>
          <w:tblHeader/>
          <w:jc w:val="center"/>
        </w:trPr>
        <w:tc>
          <w:tcPr>
            <w:tcW w:w="13536" w:type="dxa"/>
            <w:gridSpan w:val="4"/>
            <w:tcBorders>
              <w:tl2br w:val="nil"/>
              <w:tr2bl w:val="nil"/>
            </w:tcBorders>
            <w:vAlign w:val="center"/>
          </w:tcPr>
          <w:p>
            <w:pPr>
              <w:pStyle w:val="5"/>
              <w:jc w:val="center"/>
              <w:rPr>
                <w:color w:val="000000" w:themeColor="text1"/>
              </w:rPr>
            </w:pPr>
            <w:bookmarkStart w:id="178" w:name="_Toc150435300"/>
            <w:r>
              <w:rPr>
                <w:rFonts w:hint="eastAsia"/>
                <w:color w:val="000000" w:themeColor="text1"/>
              </w:rPr>
              <w:t>消防救援方面</w:t>
            </w:r>
            <w:bookmarkEnd w:id="178"/>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5" w:hRule="atLeast"/>
          <w:tblHeader/>
          <w:jc w:val="center"/>
        </w:trPr>
        <w:tc>
          <w:tcPr>
            <w:tcW w:w="1398" w:type="dxa"/>
            <w:tcBorders>
              <w:tl2br w:val="nil"/>
              <w:tr2bl w:val="nil"/>
            </w:tcBorders>
            <w:vAlign w:val="center"/>
          </w:tcPr>
          <w:p>
            <w:pPr>
              <w:pStyle w:val="47"/>
              <w:snapToGrid w:val="0"/>
              <w:spacing w:before="100" w:beforeAutospacing="1" w:after="0" w:line="400" w:lineRule="exact"/>
              <w:ind w:left="0" w:leftChars="0" w:firstLine="0" w:firstLineChars="0"/>
              <w:jc w:val="center"/>
              <w:rPr>
                <w:rFonts w:ascii="黑体" w:hAnsi="黑体" w:eastAsia="黑体" w:cs="黑体"/>
                <w:color w:val="000000" w:themeColor="text1"/>
                <w:szCs w:val="21"/>
              </w:rPr>
            </w:pPr>
            <w:r>
              <w:rPr>
                <w:rFonts w:hint="eastAsia" w:ascii="黑体" w:hAnsi="黑体" w:eastAsia="黑体" w:cs="黑体"/>
                <w:color w:val="000000" w:themeColor="text1"/>
                <w:szCs w:val="21"/>
              </w:rPr>
              <w:t>监管内容</w:t>
            </w:r>
          </w:p>
        </w:tc>
        <w:tc>
          <w:tcPr>
            <w:tcW w:w="1824" w:type="dxa"/>
            <w:tcBorders>
              <w:tl2br w:val="nil"/>
              <w:tr2bl w:val="nil"/>
            </w:tcBorders>
            <w:vAlign w:val="center"/>
          </w:tcPr>
          <w:p>
            <w:pPr>
              <w:pStyle w:val="47"/>
              <w:snapToGrid w:val="0"/>
              <w:spacing w:before="100" w:beforeAutospacing="1" w:after="0" w:line="400" w:lineRule="exact"/>
              <w:ind w:left="0" w:leftChars="0" w:firstLine="0" w:firstLineChars="0"/>
              <w:jc w:val="center"/>
              <w:rPr>
                <w:rFonts w:ascii="黑体" w:hAnsi="黑体" w:eastAsia="黑体" w:cs="黑体"/>
                <w:color w:val="000000" w:themeColor="text1"/>
                <w:szCs w:val="21"/>
              </w:rPr>
            </w:pPr>
            <w:r>
              <w:rPr>
                <w:rFonts w:hint="eastAsia" w:ascii="黑体" w:hAnsi="黑体" w:eastAsia="黑体" w:cs="黑体"/>
                <w:color w:val="000000" w:themeColor="text1"/>
                <w:szCs w:val="21"/>
              </w:rPr>
              <w:t>监管事项</w:t>
            </w:r>
          </w:p>
        </w:tc>
        <w:tc>
          <w:tcPr>
            <w:tcW w:w="1800" w:type="dxa"/>
            <w:tcBorders>
              <w:tl2br w:val="nil"/>
              <w:tr2bl w:val="nil"/>
            </w:tcBorders>
            <w:vAlign w:val="center"/>
          </w:tcPr>
          <w:p>
            <w:pPr>
              <w:pStyle w:val="47"/>
              <w:snapToGrid w:val="0"/>
              <w:spacing w:before="100" w:beforeAutospacing="1" w:after="0" w:line="400" w:lineRule="exact"/>
              <w:ind w:left="0" w:leftChars="0" w:firstLine="0" w:firstLineChars="0"/>
              <w:jc w:val="center"/>
              <w:rPr>
                <w:rFonts w:ascii="黑体" w:hAnsi="黑体" w:eastAsia="黑体" w:cs="黑体"/>
                <w:color w:val="000000" w:themeColor="text1"/>
                <w:szCs w:val="21"/>
              </w:rPr>
            </w:pPr>
            <w:r>
              <w:rPr>
                <w:rFonts w:hint="eastAsia" w:ascii="黑体" w:hAnsi="黑体" w:eastAsia="黑体" w:cs="黑体"/>
                <w:color w:val="000000" w:themeColor="text1"/>
                <w:szCs w:val="21"/>
              </w:rPr>
              <w:t>监管依据</w:t>
            </w:r>
          </w:p>
        </w:tc>
        <w:tc>
          <w:tcPr>
            <w:tcW w:w="8514" w:type="dxa"/>
            <w:tcBorders>
              <w:tl2br w:val="nil"/>
              <w:tr2bl w:val="nil"/>
            </w:tcBorders>
            <w:vAlign w:val="center"/>
          </w:tcPr>
          <w:p>
            <w:pPr>
              <w:pStyle w:val="47"/>
              <w:snapToGrid w:val="0"/>
              <w:spacing w:before="100" w:beforeAutospacing="1" w:after="0" w:line="400" w:lineRule="exact"/>
              <w:ind w:left="0" w:leftChars="0" w:firstLine="0" w:firstLineChars="0"/>
              <w:jc w:val="center"/>
              <w:rPr>
                <w:rFonts w:ascii="黑体" w:hAnsi="黑体" w:eastAsia="黑体" w:cs="黑体"/>
                <w:color w:val="000000" w:themeColor="text1"/>
                <w:kern w:val="0"/>
                <w:szCs w:val="21"/>
              </w:rPr>
            </w:pPr>
            <w:r>
              <w:rPr>
                <w:rFonts w:hint="eastAsia" w:ascii="黑体" w:hAnsi="黑体" w:eastAsia="黑体" w:cs="黑体"/>
                <w:color w:val="000000" w:themeColor="text1"/>
                <w:szCs w:val="21"/>
              </w:rPr>
              <w:t>监管规则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13" w:hRule="atLeast"/>
          <w:jc w:val="center"/>
        </w:trPr>
        <w:tc>
          <w:tcPr>
            <w:tcW w:w="1398" w:type="dxa"/>
            <w:vMerge w:val="restart"/>
            <w:tcBorders>
              <w:tl2br w:val="nil"/>
              <w:tr2bl w:val="nil"/>
            </w:tcBorders>
            <w:shd w:val="clear" w:color="auto" w:fill="auto"/>
            <w:vAlign w:val="center"/>
          </w:tcPr>
          <w:p>
            <w:pPr>
              <w:widowControl/>
              <w:snapToGrid w:val="0"/>
              <w:spacing w:line="400" w:lineRule="exact"/>
              <w:jc w:val="center"/>
              <w:textAlignment w:val="bottom"/>
              <w:rPr>
                <w:rFonts w:ascii="仿宋_GB2312" w:hAnsi="宋体" w:eastAsia="仿宋_GB2312" w:cs="宋体"/>
                <w:color w:val="000000" w:themeColor="text1"/>
                <w:sz w:val="24"/>
              </w:rPr>
            </w:pPr>
            <w:r>
              <w:rPr>
                <w:rFonts w:hint="eastAsia" w:ascii="仿宋_GB2312" w:hAnsi="宋体" w:eastAsia="仿宋_GB2312" w:cs="宋体"/>
                <w:color w:val="000000" w:themeColor="text1"/>
                <w:sz w:val="24"/>
              </w:rPr>
              <w:t>消防管理</w:t>
            </w:r>
          </w:p>
        </w:tc>
        <w:tc>
          <w:tcPr>
            <w:tcW w:w="1824" w:type="dxa"/>
            <w:vMerge w:val="restart"/>
            <w:tcBorders>
              <w:tl2br w:val="nil"/>
              <w:tr2bl w:val="nil"/>
            </w:tcBorders>
            <w:shd w:val="clear" w:color="auto" w:fill="auto"/>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（一）消防通道</w:t>
            </w:r>
          </w:p>
        </w:tc>
        <w:tc>
          <w:tcPr>
            <w:tcW w:w="1800" w:type="dxa"/>
            <w:tcBorders>
              <w:tl2br w:val="nil"/>
              <w:tr2bl w:val="nil"/>
            </w:tcBorders>
            <w:shd w:val="clear" w:color="auto" w:fill="auto"/>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《消防法》</w:t>
            </w:r>
          </w:p>
        </w:tc>
        <w:tc>
          <w:tcPr>
            <w:tcW w:w="8514" w:type="dxa"/>
            <w:tcBorders>
              <w:tl2br w:val="nil"/>
              <w:tr2bl w:val="nil"/>
            </w:tcBorders>
            <w:shd w:val="clear" w:color="auto" w:fill="auto"/>
            <w:vAlign w:val="center"/>
          </w:tcPr>
          <w:p>
            <w:pPr>
              <w:snapToGrid w:val="0"/>
              <w:spacing w:line="400" w:lineRule="exact"/>
              <w:ind w:firstLine="481" w:firstLineChars="200"/>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第十六条</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机关、团体、企业、事业等单位应当履行下列消防安全职责：</w:t>
            </w:r>
            <w:r>
              <w:rPr>
                <w:rFonts w:hint="eastAsia" w:ascii="仿宋_GB2312" w:hAnsi="仿宋" w:eastAsia="仿宋_GB2312" w:cs="仿宋"/>
                <w:color w:val="000000" w:themeColor="text1"/>
                <w:kern w:val="0"/>
                <w:sz w:val="24"/>
              </w:rPr>
              <w:br w:type="textWrapping"/>
            </w:r>
            <w:r>
              <w:rPr>
                <w:rFonts w:hint="eastAsia" w:ascii="仿宋_GB2312" w:hAnsi="仿宋" w:eastAsia="仿宋_GB2312" w:cs="仿宋"/>
                <w:color w:val="000000" w:themeColor="text1"/>
                <w:kern w:val="0"/>
                <w:sz w:val="24"/>
              </w:rPr>
              <w:t>保障疏散通道、安全出口、消防车通道畅通。</w:t>
            </w:r>
            <w:r>
              <w:rPr>
                <w:rFonts w:hint="eastAsia" w:ascii="仿宋_GB2312" w:hAnsi="仿宋" w:eastAsia="仿宋_GB2312" w:cs="仿宋"/>
                <w:color w:val="000000" w:themeColor="text1"/>
                <w:kern w:val="0"/>
                <w:sz w:val="24"/>
              </w:rPr>
              <w:br w:type="textWrapping"/>
            </w:r>
            <w:r>
              <w:rPr>
                <w:rFonts w:hint="eastAsia" w:ascii="仿宋_GB2312" w:hAnsi="仿宋" w:eastAsia="仿宋_GB2312" w:cs="仿宋"/>
                <w:b/>
                <w:bCs/>
                <w:color w:val="000000" w:themeColor="text1"/>
                <w:kern w:val="0"/>
                <w:sz w:val="24"/>
              </w:rPr>
              <w:t xml:space="preserve"> </w:t>
            </w:r>
            <w:r>
              <w:rPr>
                <w:rFonts w:ascii="仿宋_GB2312" w:hAnsi="仿宋" w:eastAsia="仿宋_GB2312" w:cs="仿宋"/>
                <w:b/>
                <w:bCs/>
                <w:color w:val="000000" w:themeColor="text1"/>
                <w:kern w:val="0"/>
                <w:sz w:val="24"/>
              </w:rPr>
              <w:t xml:space="preserve">   </w:t>
            </w:r>
            <w:r>
              <w:rPr>
                <w:rFonts w:hint="eastAsia" w:ascii="仿宋_GB2312" w:hAnsi="仿宋" w:eastAsia="仿宋_GB2312" w:cs="仿宋"/>
                <w:b/>
                <w:bCs/>
                <w:color w:val="000000" w:themeColor="text1"/>
                <w:kern w:val="0"/>
                <w:sz w:val="24"/>
              </w:rPr>
              <w:t>第二十八条</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任何单位、个人不得占用、堵塞、封闭疏散通道、安全出口、消防车通道。</w:t>
            </w:r>
          </w:p>
          <w:p>
            <w:pPr>
              <w:snapToGrid w:val="0"/>
              <w:spacing w:line="400" w:lineRule="exact"/>
              <w:ind w:firstLine="481" w:firstLineChars="200"/>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第六十条</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单位违反本法规定，有下列行为之一的，责令改正，处五千元以上五万元以下罚款：（三）占用、堵塞、封闭疏散通道、安全出口或者有其他妨碍安全疏散行为的；（五）占用、堵塞、封闭消防车通道，妨碍消防车通行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43" w:hRule="atLeast"/>
          <w:jc w:val="center"/>
        </w:trPr>
        <w:tc>
          <w:tcPr>
            <w:tcW w:w="1398" w:type="dxa"/>
            <w:vMerge w:val="continue"/>
            <w:tcBorders>
              <w:tl2br w:val="nil"/>
              <w:tr2bl w:val="nil"/>
            </w:tcBorders>
            <w:shd w:val="clear" w:color="auto" w:fill="auto"/>
            <w:vAlign w:val="center"/>
          </w:tcPr>
          <w:p>
            <w:pPr>
              <w:widowControl/>
              <w:snapToGrid w:val="0"/>
              <w:spacing w:line="400" w:lineRule="exact"/>
              <w:jc w:val="left"/>
              <w:textAlignment w:val="center"/>
              <w:rPr>
                <w:rFonts w:ascii="仿宋_GB2312" w:eastAsia="仿宋_GB2312"/>
                <w:color w:val="000000" w:themeColor="text1"/>
                <w:sz w:val="24"/>
              </w:rPr>
            </w:pPr>
          </w:p>
        </w:tc>
        <w:tc>
          <w:tcPr>
            <w:tcW w:w="1824" w:type="dxa"/>
            <w:vMerge w:val="continue"/>
            <w:tcBorders>
              <w:tl2br w:val="nil"/>
              <w:tr2bl w:val="nil"/>
            </w:tcBorders>
            <w:shd w:val="clear" w:color="auto" w:fill="auto"/>
            <w:vAlign w:val="center"/>
          </w:tcPr>
          <w:p>
            <w:pPr>
              <w:widowControl/>
              <w:snapToGrid w:val="0"/>
              <w:spacing w:line="400" w:lineRule="exact"/>
              <w:jc w:val="left"/>
              <w:textAlignment w:val="center"/>
              <w:rPr>
                <w:rFonts w:ascii="仿宋_GB2312" w:eastAsia="仿宋_GB2312"/>
                <w:color w:val="000000" w:themeColor="text1"/>
                <w:sz w:val="24"/>
              </w:rPr>
            </w:pPr>
          </w:p>
        </w:tc>
        <w:tc>
          <w:tcPr>
            <w:tcW w:w="1800" w:type="dxa"/>
            <w:tcBorders>
              <w:tl2br w:val="nil"/>
              <w:tr2bl w:val="nil"/>
            </w:tcBorders>
            <w:shd w:val="clear" w:color="auto" w:fill="auto"/>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《北京市消防条例》</w:t>
            </w:r>
          </w:p>
        </w:tc>
        <w:tc>
          <w:tcPr>
            <w:tcW w:w="8514" w:type="dxa"/>
            <w:tcBorders>
              <w:tl2br w:val="nil"/>
              <w:tr2bl w:val="nil"/>
            </w:tcBorders>
            <w:shd w:val="clear" w:color="auto" w:fill="auto"/>
            <w:vAlign w:val="center"/>
          </w:tcPr>
          <w:p>
            <w:pPr>
              <w:snapToGrid w:val="0"/>
              <w:spacing w:line="400" w:lineRule="exact"/>
              <w:ind w:firstLine="481" w:firstLineChars="200"/>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第二十四条</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住宅区的物业服务企业或者其他管理人应当做好下列消防安全工作：</w:t>
            </w:r>
          </w:p>
          <w:p>
            <w:pPr>
              <w:snapToGrid w:val="0"/>
              <w:spacing w:line="400" w:lineRule="exact"/>
              <w:ind w:firstLine="480" w:firstLineChars="200"/>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（四）保障疏散通道、安全出口、消防车通道畅通，划定和设置停车泊位及设施时不得占用、堵塞消防车通道。</w:t>
            </w:r>
          </w:p>
          <w:p>
            <w:pPr>
              <w:snapToGrid w:val="0"/>
              <w:spacing w:line="400" w:lineRule="exact"/>
              <w:ind w:firstLine="480" w:firstLineChars="200"/>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（五）对占用、堵塞、封闭疏散通道、安全出口、消防车通道的行为予以劝阻并督促改正。</w:t>
            </w:r>
            <w:r>
              <w:rPr>
                <w:rFonts w:hint="eastAsia" w:ascii="仿宋_GB2312" w:hAnsi="仿宋" w:eastAsia="仿宋_GB2312" w:cs="仿宋"/>
                <w:color w:val="000000" w:themeColor="text1"/>
                <w:kern w:val="0"/>
                <w:sz w:val="24"/>
              </w:rPr>
              <w:br w:type="textWrapping"/>
            </w:r>
            <w:r>
              <w:rPr>
                <w:rFonts w:hint="eastAsia" w:ascii="仿宋_GB2312" w:hAnsi="仿宋" w:eastAsia="仿宋_GB2312" w:cs="仿宋"/>
                <w:b/>
                <w:bCs/>
                <w:color w:val="000000" w:themeColor="text1"/>
                <w:kern w:val="0"/>
                <w:sz w:val="24"/>
              </w:rPr>
              <w:t xml:space="preserve"> </w:t>
            </w:r>
            <w:r>
              <w:rPr>
                <w:rFonts w:ascii="仿宋_GB2312" w:hAnsi="仿宋" w:eastAsia="仿宋_GB2312" w:cs="仿宋"/>
                <w:b/>
                <w:bCs/>
                <w:color w:val="000000" w:themeColor="text1"/>
                <w:kern w:val="0"/>
                <w:sz w:val="24"/>
              </w:rPr>
              <w:t xml:space="preserve">   </w:t>
            </w:r>
            <w:r>
              <w:rPr>
                <w:rFonts w:hint="eastAsia" w:ascii="仿宋_GB2312" w:hAnsi="仿宋" w:eastAsia="仿宋_GB2312" w:cs="仿宋"/>
                <w:b/>
                <w:bCs/>
                <w:color w:val="000000" w:themeColor="text1"/>
                <w:kern w:val="0"/>
                <w:sz w:val="24"/>
              </w:rPr>
              <w:t>第八十一条</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住宅区的物业服务企业或者其他管理人有违反《中华人民共和国消防法》和本条例规定的下列行为的，按照下列规定处罚：</w:t>
            </w:r>
          </w:p>
          <w:p>
            <w:pPr>
              <w:snapToGrid w:val="0"/>
              <w:spacing w:line="400" w:lineRule="exact"/>
              <w:ind w:firstLine="480" w:firstLineChars="200"/>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（二）划定和设置停车泊位及设施占用、堵塞消防车通道的，责令改正，处5000元以上5万元以下罚款；</w:t>
            </w:r>
          </w:p>
          <w:p>
            <w:pPr>
              <w:snapToGrid w:val="0"/>
              <w:spacing w:line="400" w:lineRule="exact"/>
              <w:ind w:firstLine="480" w:firstLineChars="200"/>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（三）对占用、堵塞、封闭疏散通道、安全出口、消防车通道的行为未进行劝阻，或者未按照规定向公安机关消防机构或者公安派出所报告的，责令改正，处500元以上1000元以下罚款。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74" w:hRule="atLeast"/>
          <w:jc w:val="center"/>
        </w:trPr>
        <w:tc>
          <w:tcPr>
            <w:tcW w:w="1398" w:type="dxa"/>
            <w:vMerge w:val="continue"/>
            <w:tcBorders>
              <w:tl2br w:val="nil"/>
              <w:tr2bl w:val="nil"/>
            </w:tcBorders>
            <w:shd w:val="clear" w:color="auto" w:fill="auto"/>
            <w:vAlign w:val="center"/>
          </w:tcPr>
          <w:p>
            <w:pPr>
              <w:widowControl/>
              <w:snapToGrid w:val="0"/>
              <w:spacing w:line="400" w:lineRule="exact"/>
              <w:jc w:val="left"/>
              <w:textAlignment w:val="center"/>
              <w:rPr>
                <w:rFonts w:ascii="仿宋_GB2312" w:hAnsi="仿宋" w:eastAsia="仿宋_GB2312" w:cs="仿宋"/>
                <w:color w:val="000000" w:themeColor="text1"/>
                <w:sz w:val="24"/>
              </w:rPr>
            </w:pPr>
          </w:p>
        </w:tc>
        <w:tc>
          <w:tcPr>
            <w:tcW w:w="1824" w:type="dxa"/>
            <w:vMerge w:val="continue"/>
            <w:tcBorders>
              <w:tl2br w:val="nil"/>
              <w:tr2bl w:val="nil"/>
            </w:tcBorders>
            <w:shd w:val="clear" w:color="auto" w:fill="auto"/>
            <w:vAlign w:val="center"/>
          </w:tcPr>
          <w:p>
            <w:pPr>
              <w:widowControl/>
              <w:snapToGrid w:val="0"/>
              <w:spacing w:line="400" w:lineRule="exact"/>
              <w:jc w:val="left"/>
              <w:textAlignment w:val="center"/>
              <w:rPr>
                <w:rFonts w:ascii="仿宋_GB2312" w:hAnsi="仿宋" w:eastAsia="仿宋_GB2312" w:cs="仿宋"/>
                <w:color w:val="000000" w:themeColor="text1"/>
                <w:sz w:val="24"/>
              </w:rPr>
            </w:pPr>
          </w:p>
        </w:tc>
        <w:tc>
          <w:tcPr>
            <w:tcW w:w="1800" w:type="dxa"/>
            <w:tcBorders>
              <w:tl2br w:val="nil"/>
              <w:tr2bl w:val="nil"/>
            </w:tcBorders>
            <w:shd w:val="clear" w:color="auto" w:fill="auto"/>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《北京市物业管理条例》</w:t>
            </w:r>
          </w:p>
        </w:tc>
        <w:tc>
          <w:tcPr>
            <w:tcW w:w="8514" w:type="dxa"/>
            <w:tcBorders>
              <w:tl2br w:val="nil"/>
              <w:tr2bl w:val="nil"/>
            </w:tcBorders>
            <w:shd w:val="clear" w:color="auto" w:fill="auto"/>
            <w:vAlign w:val="center"/>
          </w:tcPr>
          <w:p>
            <w:pPr>
              <w:snapToGrid w:val="0"/>
              <w:spacing w:line="400" w:lineRule="exact"/>
              <w:ind w:firstLine="481" w:firstLineChars="200"/>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第七十八条</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业主、物业使用人应当遵守法律法规和规章的规定以及临时管理规约、管理规约的约定，按照规划用途合理、安全使用物业。</w:t>
            </w:r>
          </w:p>
          <w:p>
            <w:pPr>
              <w:snapToGrid w:val="0"/>
              <w:spacing w:line="400" w:lineRule="exact"/>
              <w:ind w:firstLine="480" w:firstLineChars="200"/>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业主、物业使用人、物业服务人等不得实施下列行为：</w:t>
            </w:r>
          </w:p>
          <w:p>
            <w:pPr>
              <w:snapToGrid w:val="0"/>
              <w:spacing w:line="400" w:lineRule="exact"/>
              <w:ind w:firstLine="480" w:firstLineChars="200"/>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（十）擅自通过设置地锁、石墩、栅栏等障碍物和乱堆乱放杂物等方式，占用、堵塞、封闭消防通道、疏散通道等共用部位，或者损坏消防设施等共用设施设备。</w:t>
            </w:r>
          </w:p>
          <w:p>
            <w:pPr>
              <w:widowControl/>
              <w:snapToGrid w:val="0"/>
              <w:spacing w:line="400" w:lineRule="exact"/>
              <w:ind w:firstLine="481" w:firstLineChars="200"/>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第九十八条</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物业管理区域内有下列行为之一的，由有关主管部门按照下列规定予以查处：</w:t>
            </w:r>
          </w:p>
          <w:p>
            <w:pPr>
              <w:widowControl/>
              <w:snapToGrid w:val="0"/>
              <w:spacing w:line="400" w:lineRule="exact"/>
              <w:ind w:firstLine="480" w:firstLineChars="200"/>
              <w:rPr>
                <w:rFonts w:ascii="仿宋_GB2312" w:hAnsi="仿宋" w:eastAsia="仿宋_GB2312" w:cs="仿宋"/>
                <w:color w:val="000000" w:themeColor="text1"/>
                <w:sz w:val="24"/>
              </w:rPr>
            </w:pPr>
            <w:r>
              <w:rPr>
                <w:rFonts w:hint="eastAsia" w:ascii="仿宋_GB2312" w:hAnsi="仿宋" w:eastAsia="仿宋_GB2312" w:cs="仿宋"/>
                <w:color w:val="000000" w:themeColor="text1"/>
                <w:kern w:val="0"/>
                <w:sz w:val="24"/>
              </w:rPr>
              <w:t>（十）违反本条例第七十八条第（十）项规定，占用、堵塞、封闭消防通道、疏散通道，或者损坏消防设施的，由消防救援机构责令改正，对单位处五千元以上五万元以下的罚款，对个人处五百元的罚款。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398" w:type="dxa"/>
            <w:vMerge w:val="continue"/>
            <w:tcBorders>
              <w:tl2br w:val="nil"/>
              <w:tr2bl w:val="nil"/>
            </w:tcBorders>
            <w:shd w:val="clear" w:color="auto" w:fill="auto"/>
            <w:vAlign w:val="center"/>
          </w:tcPr>
          <w:p>
            <w:pPr>
              <w:widowControl/>
              <w:snapToGrid w:val="0"/>
              <w:spacing w:line="400" w:lineRule="exact"/>
              <w:jc w:val="center"/>
              <w:textAlignment w:val="bottom"/>
              <w:rPr>
                <w:rFonts w:ascii="仿宋_GB2312" w:hAnsi="宋体" w:eastAsia="仿宋_GB2312" w:cs="宋体"/>
                <w:color w:val="000000" w:themeColor="text1"/>
                <w:sz w:val="24"/>
              </w:rPr>
            </w:pPr>
          </w:p>
        </w:tc>
        <w:tc>
          <w:tcPr>
            <w:tcW w:w="1824" w:type="dxa"/>
            <w:vMerge w:val="restart"/>
            <w:tcBorders>
              <w:tl2br w:val="nil"/>
              <w:tr2bl w:val="nil"/>
            </w:tcBorders>
            <w:shd w:val="clear" w:color="auto" w:fill="auto"/>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（二）消防设施</w:t>
            </w:r>
          </w:p>
        </w:tc>
        <w:tc>
          <w:tcPr>
            <w:tcW w:w="1800" w:type="dxa"/>
            <w:tcBorders>
              <w:tl2br w:val="nil"/>
              <w:tr2bl w:val="nil"/>
            </w:tcBorders>
            <w:shd w:val="clear" w:color="auto" w:fill="auto"/>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《消防法》</w:t>
            </w:r>
          </w:p>
        </w:tc>
        <w:tc>
          <w:tcPr>
            <w:tcW w:w="8514" w:type="dxa"/>
            <w:tcBorders>
              <w:tl2br w:val="nil"/>
              <w:tr2bl w:val="nil"/>
            </w:tcBorders>
            <w:shd w:val="clear" w:color="auto" w:fill="auto"/>
          </w:tcPr>
          <w:p>
            <w:pPr>
              <w:snapToGrid w:val="0"/>
              <w:spacing w:line="400" w:lineRule="exact"/>
              <w:ind w:firstLine="481" w:firstLineChars="200"/>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第十六条</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机关、团体、企业、事业等单位应当履行下列消防安全职责：</w:t>
            </w:r>
          </w:p>
          <w:p>
            <w:pPr>
              <w:snapToGrid w:val="0"/>
              <w:spacing w:line="400" w:lineRule="exact"/>
              <w:ind w:firstLine="480" w:firstLineChars="200"/>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（二）按照国家标准、行业标准配置消防设施、器材，设置消防安全标志，并定期组织检验、维修，确保完好有效。</w:t>
            </w:r>
          </w:p>
          <w:p>
            <w:pPr>
              <w:snapToGrid w:val="0"/>
              <w:spacing w:line="400" w:lineRule="exact"/>
              <w:ind w:firstLine="481" w:firstLineChars="200"/>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第二十八条</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任何单位、个人不得损坏、挪用消防设施、器材。</w:t>
            </w:r>
          </w:p>
          <w:p>
            <w:pPr>
              <w:snapToGrid w:val="0"/>
              <w:spacing w:line="400" w:lineRule="exact"/>
              <w:ind w:firstLine="481" w:firstLineChars="200"/>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第六十条</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单位违反本法规定，有下列行为之一的，责令改正，处五千元以上五万元以下罚款：</w:t>
            </w:r>
          </w:p>
          <w:p>
            <w:pPr>
              <w:snapToGrid w:val="0"/>
              <w:spacing w:line="400" w:lineRule="exact"/>
              <w:ind w:firstLine="480" w:firstLineChars="200"/>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（一）消防设施、器材或者消防安全标志的配置、设置不符合国家标准、行业标准，或者未保持完好有效的；</w:t>
            </w:r>
          </w:p>
          <w:p>
            <w:pPr>
              <w:snapToGrid w:val="0"/>
              <w:spacing w:line="400" w:lineRule="exact"/>
              <w:ind w:firstLine="480" w:firstLineChars="200"/>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（二）损坏、挪用消防设施、器材的。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68" w:hRule="atLeast"/>
          <w:jc w:val="center"/>
        </w:trPr>
        <w:tc>
          <w:tcPr>
            <w:tcW w:w="1398" w:type="dxa"/>
            <w:vMerge w:val="continue"/>
            <w:tcBorders>
              <w:tl2br w:val="nil"/>
              <w:tr2bl w:val="nil"/>
            </w:tcBorders>
            <w:shd w:val="clear" w:color="auto" w:fill="auto"/>
            <w:vAlign w:val="center"/>
          </w:tcPr>
          <w:p>
            <w:pPr>
              <w:snapToGrid w:val="0"/>
              <w:spacing w:line="400" w:lineRule="exact"/>
              <w:rPr>
                <w:rFonts w:ascii="仿宋_GB2312" w:eastAsia="仿宋_GB2312"/>
                <w:color w:val="000000" w:themeColor="text1"/>
                <w:sz w:val="24"/>
              </w:rPr>
            </w:pPr>
          </w:p>
        </w:tc>
        <w:tc>
          <w:tcPr>
            <w:tcW w:w="1824" w:type="dxa"/>
            <w:vMerge w:val="continue"/>
            <w:tcBorders>
              <w:tl2br w:val="nil"/>
              <w:tr2bl w:val="nil"/>
            </w:tcBorders>
            <w:shd w:val="clear" w:color="auto" w:fill="auto"/>
            <w:vAlign w:val="center"/>
          </w:tcPr>
          <w:p>
            <w:pPr>
              <w:snapToGrid w:val="0"/>
              <w:spacing w:line="400" w:lineRule="exact"/>
              <w:rPr>
                <w:rFonts w:ascii="仿宋_GB2312" w:eastAsia="仿宋_GB2312"/>
                <w:color w:val="000000" w:themeColor="text1"/>
                <w:sz w:val="24"/>
              </w:rPr>
            </w:pPr>
          </w:p>
        </w:tc>
        <w:tc>
          <w:tcPr>
            <w:tcW w:w="1800" w:type="dxa"/>
            <w:tcBorders>
              <w:tl2br w:val="nil"/>
              <w:tr2bl w:val="nil"/>
            </w:tcBorders>
            <w:shd w:val="clear" w:color="auto" w:fill="auto"/>
            <w:vAlign w:val="center"/>
          </w:tcPr>
          <w:p>
            <w:pPr>
              <w:snapToGrid w:val="0"/>
              <w:spacing w:line="400" w:lineRule="exact"/>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《北京市消防条例》</w:t>
            </w:r>
          </w:p>
        </w:tc>
        <w:tc>
          <w:tcPr>
            <w:tcW w:w="8514" w:type="dxa"/>
            <w:tcBorders>
              <w:tl2br w:val="nil"/>
              <w:tr2bl w:val="nil"/>
            </w:tcBorders>
            <w:shd w:val="clear" w:color="auto" w:fill="auto"/>
          </w:tcPr>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第二十四条</w:t>
            </w:r>
            <w:r>
              <w:rPr>
                <w:rFonts w:hint="eastAsia" w:ascii="仿宋_GB2312" w:hAnsi="仿宋" w:eastAsia="仿宋_GB2312" w:cs="仿宋"/>
                <w:color w:val="000000" w:themeColor="text1"/>
                <w:sz w:val="24"/>
              </w:rPr>
              <w:t>　住宅区的物业服务企业或者其他管理人应当做好下列消防安全工作：（三）对管理区域内的共用消防设施、器材进行维护管理，确保完好有效。</w:t>
            </w:r>
          </w:p>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第二十五条</w:t>
            </w:r>
            <w:r>
              <w:rPr>
                <w:rFonts w:hint="eastAsia" w:ascii="仿宋_GB2312" w:hAnsi="仿宋" w:eastAsia="仿宋_GB2312" w:cs="仿宋"/>
                <w:color w:val="000000" w:themeColor="text1"/>
                <w:sz w:val="24"/>
              </w:rPr>
              <w:t>　高层建筑的管理使用人应当遵守下列消防安全规定：（七）需要暂时停用消防设施、器材的，采取有效替代措施。</w:t>
            </w:r>
            <w:r>
              <w:rPr>
                <w:rFonts w:hint="eastAsia" w:ascii="仿宋_GB2312" w:hAnsi="仿宋" w:eastAsia="仿宋_GB2312" w:cs="仿宋"/>
                <w:color w:val="000000" w:themeColor="text1"/>
                <w:sz w:val="24"/>
              </w:rPr>
              <w:br w:type="textWrapping"/>
            </w:r>
            <w:r>
              <w:rPr>
                <w:rFonts w:hint="eastAsia" w:ascii="仿宋_GB2312" w:hAnsi="仿宋" w:eastAsia="仿宋_GB2312" w:cs="仿宋"/>
                <w:b/>
                <w:bCs/>
                <w:color w:val="000000" w:themeColor="text1"/>
                <w:sz w:val="24"/>
              </w:rPr>
              <w:t xml:space="preserve"> </w:t>
            </w:r>
            <w:r>
              <w:rPr>
                <w:rFonts w:ascii="仿宋_GB2312" w:hAnsi="仿宋" w:eastAsia="仿宋_GB2312" w:cs="仿宋"/>
                <w:b/>
                <w:bCs/>
                <w:color w:val="000000" w:themeColor="text1"/>
                <w:sz w:val="24"/>
              </w:rPr>
              <w:t xml:space="preserve">   </w:t>
            </w:r>
            <w:r>
              <w:rPr>
                <w:rFonts w:hint="eastAsia" w:ascii="仿宋_GB2312" w:hAnsi="仿宋" w:eastAsia="仿宋_GB2312" w:cs="仿宋"/>
                <w:b/>
                <w:bCs/>
                <w:color w:val="000000" w:themeColor="text1"/>
                <w:sz w:val="24"/>
              </w:rPr>
              <w:t>第二十六条</w:t>
            </w:r>
            <w:r>
              <w:rPr>
                <w:rFonts w:hint="eastAsia" w:ascii="仿宋_GB2312" w:hAnsi="仿宋" w:eastAsia="仿宋_GB2312" w:cs="仿宋"/>
                <w:color w:val="000000" w:themeColor="text1"/>
                <w:sz w:val="24"/>
              </w:rPr>
              <w:t>　人防工程和普通地下室的管理使用人应当遵守下列消防安全规定：</w:t>
            </w:r>
          </w:p>
          <w:p>
            <w:pPr>
              <w:snapToGrid w:val="0"/>
              <w:spacing w:line="400" w:lineRule="exact"/>
              <w:ind w:firstLine="480" w:firstLineChars="200"/>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（一）维修消防设施时采取有效的替代措施。</w:t>
            </w:r>
          </w:p>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第八十一条</w:t>
            </w:r>
            <w:r>
              <w:rPr>
                <w:rFonts w:hint="eastAsia" w:ascii="仿宋_GB2312" w:hAnsi="仿宋" w:eastAsia="仿宋_GB2312" w:cs="仿宋"/>
                <w:color w:val="000000" w:themeColor="text1"/>
                <w:sz w:val="24"/>
              </w:rPr>
              <w:t>　住宅区的物业服务企业或者其他管理人有违反《中华人民共和国消防法》和本条例规定的下列行为的，按照下列规定处罚：</w:t>
            </w:r>
          </w:p>
          <w:p>
            <w:pPr>
              <w:snapToGrid w:val="0"/>
              <w:spacing w:line="400" w:lineRule="exact"/>
              <w:ind w:firstLine="480" w:firstLineChars="200"/>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（一）未按照规定对管理区域内的共用消防设施、器材进行维护管理，造成消防设施、器材不能保持完好有效的，责令改正，处5000元以上5万元以下罚款。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6" w:hRule="atLeast"/>
          <w:jc w:val="center"/>
        </w:trPr>
        <w:tc>
          <w:tcPr>
            <w:tcW w:w="1398" w:type="dxa"/>
            <w:vMerge w:val="continue"/>
            <w:tcBorders>
              <w:tl2br w:val="nil"/>
              <w:tr2bl w:val="nil"/>
            </w:tcBorders>
            <w:shd w:val="clear" w:color="auto" w:fill="auto"/>
            <w:vAlign w:val="center"/>
          </w:tcPr>
          <w:p>
            <w:pPr>
              <w:snapToGrid w:val="0"/>
              <w:spacing w:line="400" w:lineRule="exact"/>
              <w:rPr>
                <w:rFonts w:ascii="仿宋_GB2312" w:hAnsi="仿宋" w:eastAsia="仿宋_GB2312" w:cs="仿宋"/>
                <w:color w:val="000000" w:themeColor="text1"/>
                <w:sz w:val="24"/>
              </w:rPr>
            </w:pPr>
          </w:p>
        </w:tc>
        <w:tc>
          <w:tcPr>
            <w:tcW w:w="1824" w:type="dxa"/>
            <w:vMerge w:val="continue"/>
            <w:tcBorders>
              <w:tl2br w:val="nil"/>
              <w:tr2bl w:val="nil"/>
            </w:tcBorders>
            <w:shd w:val="clear" w:color="auto" w:fill="auto"/>
            <w:vAlign w:val="center"/>
          </w:tcPr>
          <w:p>
            <w:pPr>
              <w:snapToGrid w:val="0"/>
              <w:spacing w:line="400" w:lineRule="exact"/>
              <w:rPr>
                <w:rFonts w:ascii="仿宋_GB2312" w:hAnsi="仿宋" w:eastAsia="仿宋_GB2312" w:cs="仿宋"/>
                <w:color w:val="000000" w:themeColor="text1"/>
                <w:sz w:val="24"/>
              </w:rPr>
            </w:pPr>
          </w:p>
        </w:tc>
        <w:tc>
          <w:tcPr>
            <w:tcW w:w="1800" w:type="dxa"/>
            <w:tcBorders>
              <w:tl2br w:val="nil"/>
              <w:tr2bl w:val="nil"/>
            </w:tcBorders>
            <w:shd w:val="clear" w:color="auto" w:fill="auto"/>
            <w:vAlign w:val="center"/>
          </w:tcPr>
          <w:p>
            <w:pPr>
              <w:snapToGrid w:val="0"/>
              <w:spacing w:line="400" w:lineRule="exact"/>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《北京市物业管理条例》</w:t>
            </w:r>
          </w:p>
        </w:tc>
        <w:tc>
          <w:tcPr>
            <w:tcW w:w="8514" w:type="dxa"/>
            <w:tcBorders>
              <w:tl2br w:val="nil"/>
              <w:tr2bl w:val="nil"/>
            </w:tcBorders>
            <w:shd w:val="clear" w:color="auto" w:fill="auto"/>
          </w:tcPr>
          <w:p>
            <w:pPr>
              <w:snapToGrid w:val="0"/>
              <w:spacing w:line="400" w:lineRule="exact"/>
              <w:ind w:firstLine="200" w:firstLineChars="200"/>
              <w:rPr>
                <w:rFonts w:ascii="仿宋_GB2312" w:hAnsi="仿宋" w:eastAsia="仿宋_GB2312" w:cs="仿宋"/>
                <w:b/>
                <w:bCs/>
                <w:color w:val="000000" w:themeColor="text1"/>
                <w:kern w:val="0"/>
                <w:sz w:val="10"/>
                <w:szCs w:val="10"/>
              </w:rPr>
            </w:pPr>
          </w:p>
          <w:p>
            <w:pPr>
              <w:snapToGrid w:val="0"/>
              <w:spacing w:line="400" w:lineRule="exact"/>
              <w:ind w:firstLine="481" w:firstLineChars="200"/>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第七十八条</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业主、物业使用人应当遵守法律法规和规章的规定以及临时管理规约、管理规约的约定，按照规划用途合理、安全使用物业。</w:t>
            </w:r>
          </w:p>
          <w:p>
            <w:pPr>
              <w:snapToGrid w:val="0"/>
              <w:spacing w:line="400" w:lineRule="exact"/>
              <w:ind w:firstLine="480" w:firstLineChars="200"/>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业主、物业使用人、物业服务人等不得实施下列行为：</w:t>
            </w:r>
          </w:p>
          <w:p>
            <w:pPr>
              <w:snapToGrid w:val="0"/>
              <w:spacing w:line="400" w:lineRule="exact"/>
              <w:ind w:firstLine="480" w:firstLineChars="200"/>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（十）损坏消防设施等共用设施设备。</w:t>
            </w:r>
          </w:p>
          <w:p>
            <w:pPr>
              <w:snapToGrid w:val="0"/>
              <w:spacing w:line="400" w:lineRule="exact"/>
              <w:ind w:firstLine="481" w:firstLineChars="200"/>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第九十八条</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物业管理区域内有下列行为之一的，由有关主管部门按照下列规定予以查处：</w:t>
            </w:r>
          </w:p>
          <w:p>
            <w:pPr>
              <w:snapToGrid w:val="0"/>
              <w:spacing w:line="400" w:lineRule="exact"/>
              <w:ind w:firstLine="480" w:firstLineChars="200"/>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（十）违反本条例第七十八条第二款第（十）项规定，损坏消防设施的，由消防救援机构责令改正，对单位处五千元以上五万元以下的罚款，对个人处五百元的罚款。</w:t>
            </w:r>
          </w:p>
          <w:p>
            <w:pPr>
              <w:pStyle w:val="2"/>
              <w:numPr>
                <w:ilvl w:val="0"/>
                <w:numId w:val="0"/>
              </w:numPr>
              <w:spacing w:before="0" w:after="0"/>
              <w:ind w:left="420"/>
              <w:rPr>
                <w:color w:val="000000" w:themeColor="text1"/>
                <w:sz w:val="10"/>
                <w:szCs w:val="1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79" w:hRule="atLeast"/>
          <w:jc w:val="center"/>
        </w:trPr>
        <w:tc>
          <w:tcPr>
            <w:tcW w:w="1398" w:type="dxa"/>
            <w:vMerge w:val="continue"/>
            <w:tcBorders>
              <w:tl2br w:val="nil"/>
              <w:tr2bl w:val="nil"/>
            </w:tcBorders>
            <w:shd w:val="clear" w:color="auto" w:fill="auto"/>
            <w:vAlign w:val="center"/>
          </w:tcPr>
          <w:p>
            <w:pPr>
              <w:snapToGrid w:val="0"/>
              <w:spacing w:line="400" w:lineRule="exact"/>
              <w:rPr>
                <w:rFonts w:ascii="仿宋_GB2312" w:hAnsi="仿宋" w:eastAsia="仿宋_GB2312" w:cs="仿宋"/>
                <w:color w:val="000000" w:themeColor="text1"/>
                <w:sz w:val="24"/>
              </w:rPr>
            </w:pPr>
          </w:p>
        </w:tc>
        <w:tc>
          <w:tcPr>
            <w:tcW w:w="1824" w:type="dxa"/>
            <w:vMerge w:val="continue"/>
            <w:tcBorders>
              <w:tl2br w:val="nil"/>
              <w:tr2bl w:val="nil"/>
            </w:tcBorders>
            <w:shd w:val="clear" w:color="auto" w:fill="auto"/>
            <w:vAlign w:val="center"/>
          </w:tcPr>
          <w:p>
            <w:pPr>
              <w:snapToGrid w:val="0"/>
              <w:spacing w:line="400" w:lineRule="exact"/>
              <w:rPr>
                <w:rFonts w:ascii="仿宋_GB2312" w:hAnsi="仿宋" w:eastAsia="仿宋_GB2312" w:cs="仿宋"/>
                <w:color w:val="000000" w:themeColor="text1"/>
                <w:sz w:val="24"/>
              </w:rPr>
            </w:pPr>
          </w:p>
        </w:tc>
        <w:tc>
          <w:tcPr>
            <w:tcW w:w="1800" w:type="dxa"/>
            <w:tcBorders>
              <w:tl2br w:val="nil"/>
              <w:tr2bl w:val="nil"/>
            </w:tcBorders>
            <w:shd w:val="clear" w:color="auto" w:fill="auto"/>
            <w:vAlign w:val="center"/>
          </w:tcPr>
          <w:p>
            <w:pPr>
              <w:snapToGrid w:val="0"/>
              <w:spacing w:line="400" w:lineRule="exact"/>
              <w:rPr>
                <w:rFonts w:ascii="仿宋_GB2312" w:hAnsi="仿宋" w:eastAsia="仿宋_GB2312" w:cs="仿宋"/>
                <w:color w:val="000000" w:themeColor="text1"/>
                <w:sz w:val="24"/>
              </w:rPr>
            </w:pPr>
            <w:r>
              <w:rPr>
                <w:rFonts w:hint="eastAsia" w:ascii="仿宋_GB2312" w:hAnsi="仿宋" w:eastAsia="仿宋_GB2312" w:cs="仿宋"/>
                <w:bCs/>
                <w:color w:val="000000" w:themeColor="text1"/>
                <w:sz w:val="24"/>
              </w:rPr>
              <w:t>《北京市消防条例》</w:t>
            </w:r>
          </w:p>
        </w:tc>
        <w:tc>
          <w:tcPr>
            <w:tcW w:w="8514" w:type="dxa"/>
            <w:tcBorders>
              <w:tl2br w:val="nil"/>
              <w:tr2bl w:val="nil"/>
            </w:tcBorders>
            <w:shd w:val="clear" w:color="auto" w:fill="auto"/>
          </w:tcPr>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第八十四条</w:t>
            </w:r>
            <w:r>
              <w:rPr>
                <w:rFonts w:hint="eastAsia" w:ascii="仿宋_GB2312" w:hAnsi="仿宋" w:eastAsia="仿宋_GB2312" w:cs="仿宋"/>
                <w:color w:val="000000" w:themeColor="text1"/>
                <w:sz w:val="24"/>
              </w:rPr>
              <w:t>　违反本条例规定，有下列行为之一的，责令改正，并可处1万元以上3万元以下罚款：</w:t>
            </w:r>
          </w:p>
          <w:p>
            <w:pPr>
              <w:snapToGrid w:val="0"/>
              <w:spacing w:line="400" w:lineRule="exact"/>
              <w:ind w:firstLine="480" w:firstLineChars="200"/>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（一）高层建筑、人防工程和普通地下室的管理使用人维修消防设施未采取有效替代措施的。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13" w:hRule="atLeast"/>
          <w:jc w:val="center"/>
        </w:trPr>
        <w:tc>
          <w:tcPr>
            <w:tcW w:w="1398" w:type="dxa"/>
            <w:vMerge w:val="continue"/>
            <w:tcBorders>
              <w:tl2br w:val="nil"/>
              <w:tr2bl w:val="nil"/>
            </w:tcBorders>
            <w:shd w:val="clear" w:color="auto" w:fill="auto"/>
            <w:vAlign w:val="center"/>
          </w:tcPr>
          <w:p>
            <w:pPr>
              <w:snapToGrid w:val="0"/>
              <w:spacing w:line="400" w:lineRule="exact"/>
              <w:rPr>
                <w:rFonts w:ascii="仿宋_GB2312" w:hAnsi="仿宋" w:eastAsia="仿宋_GB2312" w:cs="仿宋"/>
                <w:color w:val="000000" w:themeColor="text1"/>
                <w:sz w:val="24"/>
              </w:rPr>
            </w:pPr>
          </w:p>
        </w:tc>
        <w:tc>
          <w:tcPr>
            <w:tcW w:w="1824" w:type="dxa"/>
            <w:vMerge w:val="continue"/>
            <w:tcBorders>
              <w:tl2br w:val="nil"/>
              <w:tr2bl w:val="nil"/>
            </w:tcBorders>
            <w:shd w:val="clear" w:color="auto" w:fill="auto"/>
            <w:vAlign w:val="center"/>
          </w:tcPr>
          <w:p>
            <w:pPr>
              <w:snapToGrid w:val="0"/>
              <w:spacing w:line="400" w:lineRule="exact"/>
              <w:rPr>
                <w:rFonts w:ascii="仿宋_GB2312" w:hAnsi="仿宋" w:eastAsia="仿宋_GB2312" w:cs="仿宋"/>
                <w:color w:val="000000" w:themeColor="text1"/>
                <w:sz w:val="24"/>
              </w:rPr>
            </w:pPr>
          </w:p>
        </w:tc>
        <w:tc>
          <w:tcPr>
            <w:tcW w:w="1800" w:type="dxa"/>
            <w:tcBorders>
              <w:tl2br w:val="nil"/>
              <w:tr2bl w:val="nil"/>
            </w:tcBorders>
            <w:shd w:val="clear" w:color="auto" w:fill="auto"/>
            <w:vAlign w:val="center"/>
          </w:tcPr>
          <w:p>
            <w:pPr>
              <w:snapToGrid w:val="0"/>
              <w:spacing w:line="400" w:lineRule="exact"/>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《北京市单位消防安全主体责任规定》</w:t>
            </w:r>
          </w:p>
        </w:tc>
        <w:tc>
          <w:tcPr>
            <w:tcW w:w="8514" w:type="dxa"/>
            <w:tcBorders>
              <w:tl2br w:val="nil"/>
              <w:tr2bl w:val="nil"/>
            </w:tcBorders>
            <w:shd w:val="clear" w:color="auto" w:fill="auto"/>
          </w:tcPr>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第十条</w:t>
            </w:r>
            <w:r>
              <w:rPr>
                <w:rFonts w:hint="eastAsia" w:ascii="仿宋_GB2312" w:hAnsi="仿宋" w:eastAsia="仿宋_GB2312" w:cs="仿宋"/>
                <w:color w:val="000000" w:themeColor="text1"/>
                <w:sz w:val="24"/>
              </w:rPr>
              <w:t>　单位应当履行下列日常消防安全管理责任：</w:t>
            </w:r>
          </w:p>
          <w:p>
            <w:pPr>
              <w:snapToGrid w:val="0"/>
              <w:spacing w:line="400" w:lineRule="exact"/>
              <w:ind w:firstLine="480" w:firstLineChars="200"/>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（二）依照国家和本市有关标准，配置消防设施和器材，设置醒目的消防安全标志，并定期进行维护保养；对建筑消防设施每年至少进行一次全面检测，确保其完好有效；</w:t>
            </w:r>
          </w:p>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第十三条</w:t>
            </w:r>
            <w:r>
              <w:rPr>
                <w:rFonts w:hint="eastAsia" w:ascii="仿宋_GB2312" w:hAnsi="仿宋" w:eastAsia="仿宋_GB2312" w:cs="仿宋"/>
                <w:color w:val="000000" w:themeColor="text1"/>
                <w:sz w:val="24"/>
              </w:rPr>
              <w:t>　住宅区的物业服务单位或者其他管理单位应当履行下列消防安全服务责任：</w:t>
            </w:r>
          </w:p>
          <w:p>
            <w:pPr>
              <w:snapToGrid w:val="0"/>
              <w:spacing w:line="400" w:lineRule="exact"/>
              <w:ind w:firstLine="480" w:firstLineChars="200"/>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（三）对管理区域内的共用消防设施、器材进行维护管理，确保其完好有效；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1398" w:type="dxa"/>
            <w:vMerge w:val="continue"/>
            <w:tcBorders>
              <w:tl2br w:val="nil"/>
              <w:tr2bl w:val="nil"/>
            </w:tcBorders>
            <w:shd w:val="clear" w:color="auto" w:fill="auto"/>
            <w:vAlign w:val="center"/>
          </w:tcPr>
          <w:p>
            <w:pPr>
              <w:snapToGrid w:val="0"/>
              <w:spacing w:line="400" w:lineRule="exact"/>
              <w:rPr>
                <w:rFonts w:ascii="仿宋_GB2312" w:hAnsi="仿宋" w:eastAsia="仿宋_GB2312" w:cs="仿宋"/>
                <w:color w:val="000000" w:themeColor="text1"/>
                <w:sz w:val="24"/>
              </w:rPr>
            </w:pPr>
          </w:p>
        </w:tc>
        <w:tc>
          <w:tcPr>
            <w:tcW w:w="1824" w:type="dxa"/>
            <w:vMerge w:val="continue"/>
            <w:tcBorders>
              <w:tl2br w:val="nil"/>
              <w:tr2bl w:val="nil"/>
            </w:tcBorders>
            <w:shd w:val="clear" w:color="auto" w:fill="auto"/>
            <w:vAlign w:val="center"/>
          </w:tcPr>
          <w:p>
            <w:pPr>
              <w:snapToGrid w:val="0"/>
              <w:spacing w:line="400" w:lineRule="exact"/>
              <w:rPr>
                <w:rFonts w:ascii="仿宋_GB2312" w:hAnsi="仿宋" w:eastAsia="仿宋_GB2312" w:cs="仿宋"/>
                <w:color w:val="000000" w:themeColor="text1"/>
                <w:sz w:val="24"/>
              </w:rPr>
            </w:pPr>
          </w:p>
        </w:tc>
        <w:tc>
          <w:tcPr>
            <w:tcW w:w="1800" w:type="dxa"/>
            <w:tcBorders>
              <w:tl2br w:val="nil"/>
              <w:tr2bl w:val="nil"/>
            </w:tcBorders>
            <w:shd w:val="clear" w:color="auto" w:fill="auto"/>
            <w:vAlign w:val="center"/>
          </w:tcPr>
          <w:p>
            <w:pPr>
              <w:snapToGrid w:val="0"/>
              <w:spacing w:line="400" w:lineRule="exact"/>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《高层民用建筑消防安全管理规定》</w:t>
            </w:r>
          </w:p>
        </w:tc>
        <w:tc>
          <w:tcPr>
            <w:tcW w:w="8514" w:type="dxa"/>
            <w:tcBorders>
              <w:tl2br w:val="nil"/>
              <w:tr2bl w:val="nil"/>
            </w:tcBorders>
            <w:shd w:val="clear" w:color="auto" w:fill="auto"/>
          </w:tcPr>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第三十二条</w:t>
            </w:r>
            <w:r>
              <w:rPr>
                <w:rFonts w:hint="eastAsia" w:ascii="仿宋_GB2312" w:hAnsi="仿宋" w:eastAsia="仿宋_GB2312" w:cs="仿宋"/>
                <w:color w:val="000000" w:themeColor="text1"/>
                <w:sz w:val="24"/>
              </w:rPr>
              <w:t>　因维修等需要停用建筑消防设施的，高层民用建筑的管理单位应当严格履行内部审批手续，制定应急方案，落实防范措施，并在建筑入口处等显著位置公告。</w:t>
            </w:r>
          </w:p>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第四十七条</w:t>
            </w:r>
            <w:r>
              <w:rPr>
                <w:rFonts w:hint="eastAsia" w:ascii="仿宋_GB2312" w:hAnsi="仿宋" w:eastAsia="仿宋_GB2312" w:cs="仿宋"/>
                <w:color w:val="000000" w:themeColor="text1"/>
                <w:sz w:val="24"/>
              </w:rPr>
              <w:t>　违反本规定，有下列行为之一的，由消防救援机构责令改正，对经营性单位和个人处2000元以上10000元以下罚款，对非经营性单位和个人处500元以上1000元以下罚款：</w:t>
            </w:r>
          </w:p>
          <w:p>
            <w:pPr>
              <w:snapToGrid w:val="0"/>
              <w:spacing w:line="400" w:lineRule="exact"/>
              <w:ind w:firstLine="480" w:firstLineChars="200"/>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（六）因维修等需要停用建筑消防设施未进行公告、未制定应急预案或者未落实防范措施的。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8" w:hRule="atLeast"/>
          <w:jc w:val="center"/>
        </w:trPr>
        <w:tc>
          <w:tcPr>
            <w:tcW w:w="1398" w:type="dxa"/>
            <w:vMerge w:val="continue"/>
            <w:tcBorders>
              <w:tl2br w:val="nil"/>
              <w:tr2bl w:val="nil"/>
            </w:tcBorders>
            <w:shd w:val="clear" w:color="auto" w:fill="auto"/>
            <w:vAlign w:val="center"/>
          </w:tcPr>
          <w:p>
            <w:pPr>
              <w:widowControl/>
              <w:snapToGrid w:val="0"/>
              <w:spacing w:line="400" w:lineRule="exact"/>
              <w:jc w:val="center"/>
              <w:textAlignment w:val="bottom"/>
              <w:rPr>
                <w:rFonts w:ascii="仿宋_GB2312" w:hAnsi="宋体" w:eastAsia="仿宋_GB2312" w:cs="宋体"/>
                <w:color w:val="000000" w:themeColor="text1"/>
                <w:sz w:val="24"/>
              </w:rPr>
            </w:pPr>
          </w:p>
        </w:tc>
        <w:tc>
          <w:tcPr>
            <w:tcW w:w="1824" w:type="dxa"/>
            <w:tcBorders>
              <w:tl2br w:val="nil"/>
              <w:tr2bl w:val="nil"/>
            </w:tcBorders>
            <w:shd w:val="clear" w:color="auto" w:fill="auto"/>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（三）消防制度</w:t>
            </w:r>
          </w:p>
        </w:tc>
        <w:tc>
          <w:tcPr>
            <w:tcW w:w="1800" w:type="dxa"/>
            <w:tcBorders>
              <w:tl2br w:val="nil"/>
              <w:tr2bl w:val="nil"/>
            </w:tcBorders>
            <w:shd w:val="clear" w:color="auto" w:fill="auto"/>
            <w:vAlign w:val="center"/>
          </w:tcPr>
          <w:p>
            <w:pPr>
              <w:snapToGrid w:val="0"/>
              <w:spacing w:line="400" w:lineRule="exact"/>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《北京市单位消防安全主体责任规定》</w:t>
            </w:r>
          </w:p>
        </w:tc>
        <w:tc>
          <w:tcPr>
            <w:tcW w:w="8514" w:type="dxa"/>
            <w:tcBorders>
              <w:tl2br w:val="nil"/>
              <w:tr2bl w:val="nil"/>
            </w:tcBorders>
            <w:shd w:val="clear" w:color="auto" w:fill="auto"/>
            <w:vAlign w:val="center"/>
          </w:tcPr>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第八条</w:t>
            </w:r>
            <w:r>
              <w:rPr>
                <w:rFonts w:hint="eastAsia" w:ascii="仿宋_GB2312" w:hAnsi="仿宋" w:eastAsia="仿宋_GB2312" w:cs="仿宋"/>
                <w:color w:val="000000" w:themeColor="text1"/>
                <w:sz w:val="24"/>
              </w:rPr>
              <w:t>　单位主要负责人的消防安全职责主要包括下列内容：</w:t>
            </w:r>
          </w:p>
          <w:p>
            <w:pPr>
              <w:snapToGrid w:val="0"/>
              <w:spacing w:line="400" w:lineRule="exact"/>
              <w:ind w:firstLine="480" w:firstLineChars="200"/>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（一）建立健全全员消防安全责任制，并组织考核和奖惩；</w:t>
            </w:r>
          </w:p>
          <w:p>
            <w:pPr>
              <w:snapToGrid w:val="0"/>
              <w:spacing w:line="400" w:lineRule="exact"/>
              <w:ind w:firstLine="480" w:firstLineChars="200"/>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（二）遵守有关消防法律法规和标准，保障本单位消防安全符合规定；</w:t>
            </w:r>
          </w:p>
          <w:p>
            <w:pPr>
              <w:snapToGrid w:val="0"/>
              <w:spacing w:line="400" w:lineRule="exact"/>
              <w:ind w:firstLine="480" w:firstLineChars="200"/>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（三）保障本单位消防安全工作所需的资金投入；</w:t>
            </w:r>
          </w:p>
          <w:p>
            <w:pPr>
              <w:snapToGrid w:val="0"/>
              <w:spacing w:line="400" w:lineRule="exact"/>
              <w:ind w:firstLine="480" w:firstLineChars="200"/>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（四）加强本单位消防安全管理，定期研究消防安全工作，及时处理消防安全重大问题。</w:t>
            </w:r>
          </w:p>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第十条</w:t>
            </w:r>
            <w:r>
              <w:rPr>
                <w:rFonts w:hint="eastAsia" w:ascii="仿宋_GB2312" w:hAnsi="仿宋" w:eastAsia="仿宋_GB2312" w:cs="仿宋"/>
                <w:color w:val="000000" w:themeColor="text1"/>
                <w:sz w:val="24"/>
              </w:rPr>
              <w:t>　单位应当履行下列日常消防安全管理责任：</w:t>
            </w:r>
          </w:p>
          <w:p>
            <w:pPr>
              <w:snapToGrid w:val="0"/>
              <w:spacing w:line="400" w:lineRule="exact"/>
              <w:ind w:firstLine="480" w:firstLineChars="200"/>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（一）依照法律法规和标准的规定，结合本单位实际，制定并组织落实本单位消防安全的规章制度和操作规程；</w:t>
            </w:r>
          </w:p>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color w:val="000000" w:themeColor="text1"/>
                <w:sz w:val="24"/>
              </w:rPr>
              <w:t>第二十九条</w:t>
            </w:r>
            <w:r>
              <w:rPr>
                <w:rFonts w:hint="eastAsia" w:ascii="仿宋_GB2312" w:hAnsi="仿宋" w:eastAsia="仿宋_GB2312" w:cs="仿宋"/>
                <w:color w:val="000000" w:themeColor="text1"/>
                <w:sz w:val="24"/>
              </w:rPr>
              <w:t>　违反本规定第八条规定，单位主要负责人未履行消防安全职责的，由消防救援机构对其进行约谈，可以依法公示单位的行政处罚、火灾隐患等信息，并向有关部门报告；构成犯罪的，依法追究刑事责任。</w:t>
            </w:r>
          </w:p>
          <w:p>
            <w:pPr>
              <w:snapToGrid w:val="0"/>
              <w:spacing w:line="400" w:lineRule="exact"/>
              <w:ind w:firstLine="480" w:firstLineChars="200"/>
              <w:rPr>
                <w:rFonts w:ascii="仿宋_GB2312" w:hAnsi="仿宋" w:eastAsia="仿宋_GB2312" w:cs="仿宋"/>
                <w:b/>
                <w:bCs/>
                <w:color w:val="000000" w:themeColor="text1"/>
                <w:sz w:val="24"/>
              </w:rPr>
            </w:pPr>
            <w:r>
              <w:rPr>
                <w:rFonts w:hint="eastAsia" w:ascii="仿宋_GB2312" w:hAnsi="仿宋" w:eastAsia="仿宋_GB2312" w:cs="仿宋"/>
                <w:color w:val="000000" w:themeColor="text1"/>
                <w:sz w:val="24"/>
              </w:rPr>
              <w:t>单位因存在重大事故隐患被依法责令停产停业、停止施工、停止使用有关设备、设施、场所或者立即采取排除危险的整改措施，而拒不执行，构成犯罪的，依照刑法有关规定追究刑事责任。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5" w:hRule="atLeast"/>
          <w:jc w:val="center"/>
        </w:trPr>
        <w:tc>
          <w:tcPr>
            <w:tcW w:w="1398" w:type="dxa"/>
            <w:vMerge w:val="continue"/>
            <w:tcBorders>
              <w:tl2br w:val="nil"/>
              <w:tr2bl w:val="nil"/>
            </w:tcBorders>
            <w:shd w:val="clear" w:color="auto" w:fill="auto"/>
            <w:vAlign w:val="center"/>
          </w:tcPr>
          <w:p>
            <w:pPr>
              <w:widowControl/>
              <w:snapToGrid w:val="0"/>
              <w:spacing w:line="400" w:lineRule="exact"/>
              <w:jc w:val="center"/>
              <w:textAlignment w:val="bottom"/>
              <w:rPr>
                <w:rFonts w:ascii="仿宋_GB2312" w:hAnsi="宋体" w:eastAsia="仿宋_GB2312" w:cs="宋体"/>
                <w:color w:val="000000" w:themeColor="text1"/>
                <w:sz w:val="24"/>
              </w:rPr>
            </w:pPr>
          </w:p>
        </w:tc>
        <w:tc>
          <w:tcPr>
            <w:tcW w:w="1824" w:type="dxa"/>
            <w:tcBorders>
              <w:tl2br w:val="nil"/>
              <w:tr2bl w:val="nil"/>
            </w:tcBorders>
            <w:shd w:val="clear" w:color="auto" w:fill="auto"/>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（四）宣传教育培训和消防演练</w:t>
            </w:r>
          </w:p>
        </w:tc>
        <w:tc>
          <w:tcPr>
            <w:tcW w:w="1800" w:type="dxa"/>
            <w:tcBorders>
              <w:tl2br w:val="nil"/>
              <w:tr2bl w:val="nil"/>
            </w:tcBorders>
            <w:shd w:val="clear" w:color="auto" w:fill="auto"/>
            <w:vAlign w:val="center"/>
          </w:tcPr>
          <w:p>
            <w:pPr>
              <w:snapToGrid w:val="0"/>
              <w:spacing w:line="400" w:lineRule="exact"/>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《北京市单位消防安全主体责任规定》</w:t>
            </w:r>
          </w:p>
        </w:tc>
        <w:tc>
          <w:tcPr>
            <w:tcW w:w="8514" w:type="dxa"/>
            <w:tcBorders>
              <w:tl2br w:val="nil"/>
              <w:tr2bl w:val="nil"/>
            </w:tcBorders>
            <w:shd w:val="clear" w:color="auto" w:fill="auto"/>
            <w:vAlign w:val="center"/>
          </w:tcPr>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第十一条</w:t>
            </w:r>
            <w:r>
              <w:rPr>
                <w:rFonts w:hint="eastAsia" w:ascii="仿宋_GB2312" w:hAnsi="仿宋" w:eastAsia="仿宋_GB2312" w:cs="仿宋"/>
                <w:color w:val="000000" w:themeColor="text1"/>
                <w:sz w:val="24"/>
              </w:rPr>
              <w:t>　单位应当履行下列消防宣传教育和培训责任：</w:t>
            </w:r>
          </w:p>
          <w:p>
            <w:pPr>
              <w:snapToGrid w:val="0"/>
              <w:spacing w:line="400" w:lineRule="exact"/>
              <w:ind w:firstLine="480" w:firstLineChars="200"/>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（一）定期开展多种形式的全员消防宣传教育，保证员工具备必要的消防安全知识，增强火灾事故预防和应急处置能力；</w:t>
            </w:r>
          </w:p>
          <w:p>
            <w:pPr>
              <w:snapToGrid w:val="0"/>
              <w:spacing w:line="400" w:lineRule="exact"/>
              <w:ind w:firstLine="480" w:firstLineChars="200"/>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（二）依照国家有关规定，对全体员工每年至少进行一次消防安全培训；对新上岗和进入新岗位的员工，在上岗前进行消防安全培训。</w:t>
            </w:r>
          </w:p>
          <w:p>
            <w:pPr>
              <w:snapToGrid w:val="0"/>
              <w:spacing w:line="400" w:lineRule="exact"/>
              <w:ind w:firstLine="480" w:firstLineChars="200"/>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消防宣传教育和培训主要包括：本单位的火灾危险性、防火灭火措施、消防设施以及灭火器材的操作使用方法、人员疏散逃生知识等内容。</w:t>
            </w:r>
          </w:p>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第十三条</w:t>
            </w:r>
            <w:r>
              <w:rPr>
                <w:rFonts w:hint="eastAsia" w:ascii="仿宋_GB2312" w:hAnsi="仿宋" w:eastAsia="仿宋_GB2312" w:cs="仿宋"/>
                <w:color w:val="000000" w:themeColor="text1"/>
                <w:sz w:val="24"/>
              </w:rPr>
              <w:t>　住宅区的物业服务单位或者其他管理单位应当履行下列消防安全服务责任：</w:t>
            </w:r>
          </w:p>
          <w:p>
            <w:pPr>
              <w:snapToGrid w:val="0"/>
              <w:spacing w:line="400" w:lineRule="exact"/>
              <w:ind w:firstLine="480" w:firstLineChars="200"/>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（一）开展日常消防宣传，提示火灾隐患，每年至少组织一次本单位员工和居民参加的灭火和应急疏散演练；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86" w:hRule="atLeast"/>
          <w:jc w:val="center"/>
        </w:trPr>
        <w:tc>
          <w:tcPr>
            <w:tcW w:w="1398" w:type="dxa"/>
            <w:vMerge w:val="continue"/>
            <w:tcBorders>
              <w:tl2br w:val="nil"/>
              <w:tr2bl w:val="nil"/>
            </w:tcBorders>
            <w:shd w:val="clear" w:color="auto" w:fill="auto"/>
            <w:vAlign w:val="center"/>
          </w:tcPr>
          <w:p>
            <w:pPr>
              <w:widowControl/>
              <w:snapToGrid w:val="0"/>
              <w:spacing w:line="400" w:lineRule="exact"/>
              <w:jc w:val="center"/>
              <w:textAlignment w:val="bottom"/>
              <w:rPr>
                <w:rFonts w:ascii="仿宋_GB2312" w:hAnsi="宋体" w:eastAsia="仿宋_GB2312" w:cs="宋体"/>
                <w:color w:val="000000" w:themeColor="text1"/>
                <w:sz w:val="24"/>
              </w:rPr>
            </w:pPr>
          </w:p>
        </w:tc>
        <w:tc>
          <w:tcPr>
            <w:tcW w:w="1824" w:type="dxa"/>
            <w:tcBorders>
              <w:tl2br w:val="nil"/>
              <w:tr2bl w:val="nil"/>
            </w:tcBorders>
            <w:shd w:val="clear" w:color="auto" w:fill="auto"/>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（五）消防安全检查及时消除火灾隐患</w:t>
            </w:r>
          </w:p>
        </w:tc>
        <w:tc>
          <w:tcPr>
            <w:tcW w:w="1800" w:type="dxa"/>
            <w:tcBorders>
              <w:tl2br w:val="nil"/>
              <w:tr2bl w:val="nil"/>
            </w:tcBorders>
            <w:shd w:val="clear" w:color="auto" w:fill="auto"/>
            <w:vAlign w:val="center"/>
          </w:tcPr>
          <w:p>
            <w:pPr>
              <w:snapToGrid w:val="0"/>
              <w:spacing w:line="400" w:lineRule="exact"/>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《北京市单位消防安全主体责任规定》</w:t>
            </w:r>
          </w:p>
        </w:tc>
        <w:tc>
          <w:tcPr>
            <w:tcW w:w="8514" w:type="dxa"/>
            <w:tcBorders>
              <w:tl2br w:val="nil"/>
              <w:tr2bl w:val="nil"/>
            </w:tcBorders>
            <w:shd w:val="clear" w:color="auto" w:fill="auto"/>
            <w:vAlign w:val="center"/>
          </w:tcPr>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第十条</w:t>
            </w:r>
            <w:r>
              <w:rPr>
                <w:rFonts w:hint="eastAsia" w:ascii="仿宋_GB2312" w:hAnsi="仿宋" w:eastAsia="仿宋_GB2312" w:cs="仿宋"/>
                <w:color w:val="000000" w:themeColor="text1"/>
                <w:sz w:val="24"/>
              </w:rPr>
              <w:t>　单位应当履行下列日常消防安全管理责任：</w:t>
            </w:r>
          </w:p>
          <w:p>
            <w:pPr>
              <w:snapToGrid w:val="0"/>
              <w:spacing w:line="400" w:lineRule="exact"/>
              <w:ind w:firstLine="480" w:firstLineChars="200"/>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（三）定期开展防火检查，及时消除火灾隐患；不能及时消除的，应当采取防范措施，确保安全；防火检查等情况应当按照市消防救援机构的要求，通过信息系统如实记录；</w:t>
            </w:r>
          </w:p>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第十三条</w:t>
            </w:r>
            <w:r>
              <w:rPr>
                <w:rFonts w:hint="eastAsia" w:ascii="仿宋_GB2312" w:hAnsi="仿宋" w:eastAsia="仿宋_GB2312" w:cs="仿宋"/>
                <w:color w:val="000000" w:themeColor="text1"/>
                <w:sz w:val="24"/>
              </w:rPr>
              <w:t>　住宅区的物业服务单位或者其他管理单位应当履行下列消防安全服务责任：</w:t>
            </w:r>
          </w:p>
          <w:p>
            <w:pPr>
              <w:snapToGrid w:val="0"/>
              <w:spacing w:line="400" w:lineRule="exact"/>
              <w:ind w:firstLine="480" w:firstLineChars="200"/>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（二）组织安全巡查，发现火灾隐患及时采取措施；</w:t>
            </w:r>
          </w:p>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第三十条</w:t>
            </w:r>
            <w:r>
              <w:rPr>
                <w:rFonts w:hint="eastAsia" w:ascii="仿宋_GB2312" w:hAnsi="仿宋" w:eastAsia="仿宋_GB2312" w:cs="仿宋"/>
                <w:color w:val="000000" w:themeColor="text1"/>
                <w:sz w:val="24"/>
              </w:rPr>
              <w:t>　违反本规定第十条第一款第三项规定，未记录或者未如实记录防火检查情况的，由消防救援机构责令限期改正；逾期未改正的，处500元以上5000元以下罚款。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17" w:hRule="atLeast"/>
          <w:jc w:val="center"/>
        </w:trPr>
        <w:tc>
          <w:tcPr>
            <w:tcW w:w="1398" w:type="dxa"/>
            <w:vMerge w:val="continue"/>
            <w:tcBorders>
              <w:tl2br w:val="nil"/>
              <w:tr2bl w:val="nil"/>
            </w:tcBorders>
            <w:shd w:val="clear" w:color="auto" w:fill="auto"/>
            <w:vAlign w:val="center"/>
          </w:tcPr>
          <w:p>
            <w:pPr>
              <w:widowControl/>
              <w:snapToGrid w:val="0"/>
              <w:spacing w:line="400" w:lineRule="exact"/>
              <w:jc w:val="center"/>
              <w:textAlignment w:val="bottom"/>
              <w:rPr>
                <w:rFonts w:ascii="仿宋_GB2312" w:hAnsi="宋体" w:eastAsia="仿宋_GB2312" w:cs="宋体"/>
                <w:color w:val="000000" w:themeColor="text1"/>
                <w:sz w:val="24"/>
              </w:rPr>
            </w:pPr>
          </w:p>
        </w:tc>
        <w:tc>
          <w:tcPr>
            <w:tcW w:w="1824" w:type="dxa"/>
            <w:tcBorders>
              <w:tl2br w:val="nil"/>
              <w:tr2bl w:val="nil"/>
            </w:tcBorders>
            <w:shd w:val="clear" w:color="auto" w:fill="auto"/>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（六）扑救初起火灾和保护现场</w:t>
            </w:r>
          </w:p>
        </w:tc>
        <w:tc>
          <w:tcPr>
            <w:tcW w:w="1800" w:type="dxa"/>
            <w:tcBorders>
              <w:tl2br w:val="nil"/>
              <w:tr2bl w:val="nil"/>
            </w:tcBorders>
            <w:shd w:val="clear" w:color="auto" w:fill="auto"/>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《北京市单位消防安全主体责任规定》</w:t>
            </w:r>
          </w:p>
        </w:tc>
        <w:tc>
          <w:tcPr>
            <w:tcW w:w="8514" w:type="dxa"/>
            <w:tcBorders>
              <w:tl2br w:val="nil"/>
              <w:tr2bl w:val="nil"/>
            </w:tcBorders>
            <w:shd w:val="clear" w:color="auto" w:fill="auto"/>
            <w:vAlign w:val="center"/>
          </w:tcPr>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第十二条</w:t>
            </w:r>
            <w:r>
              <w:rPr>
                <w:rFonts w:hint="eastAsia" w:ascii="仿宋_GB2312" w:hAnsi="仿宋" w:eastAsia="仿宋_GB2312" w:cs="仿宋"/>
                <w:color w:val="000000" w:themeColor="text1"/>
                <w:sz w:val="24"/>
              </w:rPr>
              <w:t>　单位应当履行下列火灾事故应急处置责任：</w:t>
            </w:r>
          </w:p>
          <w:p>
            <w:pPr>
              <w:snapToGrid w:val="0"/>
              <w:spacing w:line="400" w:lineRule="exact"/>
              <w:ind w:firstLine="480" w:firstLineChars="200"/>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（二）依照本市有关规定，建立健全本单位专职消防队、志愿消防队和微型消防站等多种形式的消防队伍，配备消防装备，定期组织训练演练；与消防救援机构建立联勤联动机制，提高扑救初起火灾能力；</w:t>
            </w:r>
          </w:p>
          <w:p>
            <w:pPr>
              <w:snapToGrid w:val="0"/>
              <w:spacing w:line="400" w:lineRule="exact"/>
              <w:ind w:firstLine="480" w:firstLineChars="200"/>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三）发现火灾立即拨打“119”电话报告火警，并迅速组织人员疏散，扑救初起火灾；立即启动本单位灭火和应急疏散预案，承担应急疏散、火灾扑救职责的员工，应当在确认火灾后及时到达岗位；单位设有消防控制室的，应当立即启动应急广播系统、消防给水系统、防排烟系统等建筑消防设施；</w:t>
            </w:r>
          </w:p>
          <w:p>
            <w:pPr>
              <w:snapToGrid w:val="0"/>
              <w:spacing w:line="400" w:lineRule="exact"/>
              <w:ind w:firstLine="480" w:firstLineChars="200"/>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（四）火灾扑灭后应当及时保护现场，接受事故调查，如实提供与火灾有关的情况。</w:t>
            </w:r>
          </w:p>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第十三条</w:t>
            </w:r>
            <w:r>
              <w:rPr>
                <w:rFonts w:hint="eastAsia" w:ascii="仿宋_GB2312" w:hAnsi="仿宋" w:eastAsia="仿宋_GB2312" w:cs="仿宋"/>
                <w:color w:val="000000" w:themeColor="text1"/>
                <w:sz w:val="24"/>
              </w:rPr>
              <w:t xml:space="preserve">  住宅区的物业服务单位或者其他管理单位应当履行下列消防安全服务责任：</w:t>
            </w:r>
          </w:p>
          <w:p>
            <w:pPr>
              <w:snapToGrid w:val="0"/>
              <w:spacing w:line="400" w:lineRule="exact"/>
              <w:ind w:firstLine="480" w:firstLineChars="200"/>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（六）对初起火灾采取处置措施。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90" w:hRule="atLeast"/>
          <w:jc w:val="center"/>
        </w:trPr>
        <w:tc>
          <w:tcPr>
            <w:tcW w:w="1398" w:type="dxa"/>
            <w:vMerge w:val="continue"/>
            <w:tcBorders>
              <w:tl2br w:val="nil"/>
              <w:tr2bl w:val="nil"/>
            </w:tcBorders>
            <w:shd w:val="clear" w:color="auto" w:fill="auto"/>
            <w:vAlign w:val="center"/>
          </w:tcPr>
          <w:p>
            <w:pPr>
              <w:widowControl/>
              <w:snapToGrid w:val="0"/>
              <w:spacing w:line="400" w:lineRule="exact"/>
              <w:jc w:val="center"/>
              <w:textAlignment w:val="bottom"/>
              <w:rPr>
                <w:rFonts w:ascii="仿宋_GB2312" w:hAnsi="宋体" w:eastAsia="仿宋_GB2312" w:cs="宋体"/>
                <w:color w:val="000000" w:themeColor="text1"/>
                <w:sz w:val="24"/>
              </w:rPr>
            </w:pPr>
          </w:p>
        </w:tc>
        <w:tc>
          <w:tcPr>
            <w:tcW w:w="1824" w:type="dxa"/>
            <w:tcBorders>
              <w:tl2br w:val="nil"/>
              <w:tr2bl w:val="nil"/>
            </w:tcBorders>
            <w:shd w:val="clear" w:color="auto" w:fill="auto"/>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（七）安全存储</w:t>
            </w:r>
          </w:p>
        </w:tc>
        <w:tc>
          <w:tcPr>
            <w:tcW w:w="1800" w:type="dxa"/>
            <w:tcBorders>
              <w:tl2br w:val="nil"/>
              <w:tr2bl w:val="nil"/>
            </w:tcBorders>
            <w:shd w:val="clear" w:color="auto" w:fill="auto"/>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《北京市消防条例》</w:t>
            </w:r>
          </w:p>
        </w:tc>
        <w:tc>
          <w:tcPr>
            <w:tcW w:w="8514" w:type="dxa"/>
            <w:tcBorders>
              <w:tl2br w:val="nil"/>
              <w:tr2bl w:val="nil"/>
            </w:tcBorders>
            <w:shd w:val="clear" w:color="auto" w:fill="auto"/>
            <w:vAlign w:val="center"/>
          </w:tcPr>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第二十六条</w:t>
            </w:r>
            <w:r>
              <w:rPr>
                <w:rFonts w:hint="eastAsia" w:ascii="仿宋_GB2312" w:hAnsi="仿宋" w:eastAsia="仿宋_GB2312" w:cs="仿宋"/>
                <w:color w:val="000000" w:themeColor="text1"/>
                <w:sz w:val="24"/>
              </w:rPr>
              <w:t>　人防工程和普通地下室的管理使用人应当遵守下列消防安全规定：</w:t>
            </w:r>
          </w:p>
          <w:p>
            <w:pPr>
              <w:snapToGrid w:val="0"/>
              <w:spacing w:line="400" w:lineRule="exact"/>
              <w:ind w:firstLine="480" w:firstLineChars="200"/>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（二）不得生产、经营、储存易燃易爆危险品。</w:t>
            </w:r>
          </w:p>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第八十四条第二款</w:t>
            </w:r>
            <w:r>
              <w:rPr>
                <w:rFonts w:hint="eastAsia" w:ascii="仿宋_GB2312" w:hAnsi="仿宋" w:eastAsia="仿宋_GB2312" w:cs="仿宋"/>
                <w:color w:val="000000" w:themeColor="text1"/>
                <w:sz w:val="24"/>
              </w:rPr>
              <w:t>　在高层建筑、人防工程和普通地下室内生产、经营、储存易燃易爆危险品的，依法采取本条例规定的临时查封、扣押等措施，并处5000元以上5万元以下罚款。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47" w:hRule="atLeast"/>
          <w:jc w:val="center"/>
        </w:trPr>
        <w:tc>
          <w:tcPr>
            <w:tcW w:w="1398" w:type="dxa"/>
            <w:vMerge w:val="continue"/>
            <w:tcBorders>
              <w:tl2br w:val="nil"/>
              <w:tr2bl w:val="nil"/>
            </w:tcBorders>
            <w:shd w:val="clear" w:color="auto" w:fill="auto"/>
            <w:vAlign w:val="center"/>
          </w:tcPr>
          <w:p>
            <w:pPr>
              <w:widowControl/>
              <w:snapToGrid w:val="0"/>
              <w:spacing w:line="400" w:lineRule="exact"/>
              <w:jc w:val="center"/>
              <w:textAlignment w:val="bottom"/>
              <w:rPr>
                <w:rFonts w:ascii="仿宋_GB2312" w:hAnsi="宋体" w:eastAsia="仿宋_GB2312" w:cs="宋体"/>
                <w:color w:val="000000" w:themeColor="text1"/>
                <w:sz w:val="24"/>
              </w:rPr>
            </w:pPr>
          </w:p>
        </w:tc>
        <w:tc>
          <w:tcPr>
            <w:tcW w:w="1824" w:type="dxa"/>
            <w:tcBorders>
              <w:tl2br w:val="nil"/>
              <w:tr2bl w:val="nil"/>
            </w:tcBorders>
            <w:shd w:val="clear" w:color="auto" w:fill="auto"/>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（八）安全出口</w:t>
            </w:r>
          </w:p>
        </w:tc>
        <w:tc>
          <w:tcPr>
            <w:tcW w:w="1800" w:type="dxa"/>
            <w:tcBorders>
              <w:tl2br w:val="nil"/>
              <w:tr2bl w:val="nil"/>
            </w:tcBorders>
            <w:shd w:val="clear" w:color="auto" w:fill="auto"/>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《北京市消防条例》</w:t>
            </w:r>
          </w:p>
        </w:tc>
        <w:tc>
          <w:tcPr>
            <w:tcW w:w="8514" w:type="dxa"/>
            <w:tcBorders>
              <w:tl2br w:val="nil"/>
              <w:tr2bl w:val="nil"/>
            </w:tcBorders>
            <w:shd w:val="clear" w:color="auto" w:fill="auto"/>
            <w:vAlign w:val="center"/>
          </w:tcPr>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第二十六条</w:t>
            </w:r>
            <w:r>
              <w:rPr>
                <w:rFonts w:hint="eastAsia" w:ascii="仿宋_GB2312" w:hAnsi="仿宋" w:eastAsia="仿宋_GB2312" w:cs="仿宋"/>
                <w:color w:val="000000" w:themeColor="text1"/>
                <w:sz w:val="24"/>
              </w:rPr>
              <w:t>　人防工程和普通地下室的管理使用人应当遵守下列消防安全规定：</w:t>
            </w:r>
          </w:p>
          <w:p>
            <w:pPr>
              <w:snapToGrid w:val="0"/>
              <w:spacing w:line="400" w:lineRule="exact"/>
              <w:ind w:firstLine="480" w:firstLineChars="200"/>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（三）不得占用安全出口外的人员疏散场地。</w:t>
            </w:r>
          </w:p>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第八十四条第一款</w:t>
            </w:r>
            <w:r>
              <w:rPr>
                <w:rFonts w:hint="eastAsia" w:ascii="仿宋_GB2312" w:hAnsi="仿宋" w:eastAsia="仿宋_GB2312" w:cs="仿宋"/>
                <w:color w:val="000000" w:themeColor="text1"/>
                <w:sz w:val="24"/>
              </w:rPr>
              <w:t>　违反本条例规定，有下列行为之一的，责令改正，并可处1万元以上3万元以下罚款：</w:t>
            </w:r>
          </w:p>
          <w:p>
            <w:pPr>
              <w:snapToGrid w:val="0"/>
              <w:spacing w:line="400" w:lineRule="exact"/>
              <w:ind w:firstLine="480" w:firstLineChars="200"/>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（二）占用人防工程和普通地下室安全出口外的人员疏散场地的。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398" w:type="dxa"/>
            <w:vMerge w:val="continue"/>
            <w:tcBorders>
              <w:tl2br w:val="nil"/>
              <w:tr2bl w:val="nil"/>
            </w:tcBorders>
            <w:shd w:val="clear" w:color="auto" w:fill="auto"/>
            <w:vAlign w:val="center"/>
          </w:tcPr>
          <w:p>
            <w:pPr>
              <w:widowControl/>
              <w:snapToGrid w:val="0"/>
              <w:spacing w:line="400" w:lineRule="exact"/>
              <w:jc w:val="center"/>
              <w:textAlignment w:val="bottom"/>
              <w:rPr>
                <w:rFonts w:ascii="仿宋_GB2312" w:hAnsi="宋体" w:eastAsia="仿宋_GB2312" w:cs="宋体"/>
                <w:color w:val="000000" w:themeColor="text1"/>
                <w:sz w:val="24"/>
              </w:rPr>
            </w:pPr>
          </w:p>
        </w:tc>
        <w:tc>
          <w:tcPr>
            <w:tcW w:w="1824" w:type="dxa"/>
            <w:tcBorders>
              <w:tl2br w:val="nil"/>
              <w:tr2bl w:val="nil"/>
            </w:tcBorders>
            <w:shd w:val="clear" w:color="auto" w:fill="auto"/>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（九）违规用气</w:t>
            </w:r>
          </w:p>
        </w:tc>
        <w:tc>
          <w:tcPr>
            <w:tcW w:w="1800" w:type="dxa"/>
            <w:tcBorders>
              <w:tl2br w:val="nil"/>
              <w:tr2bl w:val="nil"/>
            </w:tcBorders>
            <w:shd w:val="clear" w:color="auto" w:fill="auto"/>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《北京市消防条例》</w:t>
            </w:r>
          </w:p>
        </w:tc>
        <w:tc>
          <w:tcPr>
            <w:tcW w:w="8514" w:type="dxa"/>
            <w:tcBorders>
              <w:tl2br w:val="nil"/>
              <w:tr2bl w:val="nil"/>
            </w:tcBorders>
            <w:shd w:val="clear" w:color="auto" w:fill="auto"/>
            <w:vAlign w:val="center"/>
          </w:tcPr>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第二十六条</w:t>
            </w:r>
            <w:r>
              <w:rPr>
                <w:rFonts w:hint="eastAsia" w:ascii="仿宋_GB2312" w:hAnsi="仿宋" w:eastAsia="仿宋_GB2312" w:cs="仿宋"/>
                <w:color w:val="000000" w:themeColor="text1"/>
                <w:sz w:val="24"/>
              </w:rPr>
              <w:t>　人防工程和普通地下室的管理使用人应当遵守下列消防安全规定：</w:t>
            </w:r>
          </w:p>
          <w:p>
            <w:pPr>
              <w:snapToGrid w:val="0"/>
              <w:spacing w:line="400" w:lineRule="exact"/>
              <w:ind w:firstLine="480" w:firstLineChars="200"/>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（四）不得使用液化石油气。</w:t>
            </w:r>
          </w:p>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第八十四条第一款</w:t>
            </w:r>
            <w:r>
              <w:rPr>
                <w:rFonts w:hint="eastAsia" w:ascii="仿宋_GB2312" w:hAnsi="仿宋" w:eastAsia="仿宋_GB2312" w:cs="仿宋"/>
                <w:color w:val="000000" w:themeColor="text1"/>
                <w:sz w:val="24"/>
              </w:rPr>
              <w:t>　违反本条例规定，有下列行为之一的，责令改正，并可处1万元以上3万元以下罚款：</w:t>
            </w:r>
          </w:p>
          <w:p>
            <w:pPr>
              <w:snapToGrid w:val="0"/>
              <w:spacing w:line="400" w:lineRule="exact"/>
              <w:ind w:firstLine="480" w:firstLineChars="200"/>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（三）在人防工程和普通地下室内使用液化石油气的。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20" w:hRule="atLeast"/>
          <w:jc w:val="center"/>
        </w:trPr>
        <w:tc>
          <w:tcPr>
            <w:tcW w:w="1398" w:type="dxa"/>
            <w:vMerge w:val="continue"/>
            <w:tcBorders>
              <w:tl2br w:val="nil"/>
              <w:tr2bl w:val="nil"/>
            </w:tcBorders>
            <w:shd w:val="clear" w:color="auto" w:fill="auto"/>
            <w:vAlign w:val="center"/>
          </w:tcPr>
          <w:p>
            <w:pPr>
              <w:widowControl/>
              <w:snapToGrid w:val="0"/>
              <w:spacing w:line="400" w:lineRule="exact"/>
              <w:jc w:val="center"/>
              <w:textAlignment w:val="bottom"/>
              <w:rPr>
                <w:rFonts w:ascii="仿宋_GB2312" w:hAnsi="宋体" w:eastAsia="仿宋_GB2312" w:cs="宋体"/>
                <w:color w:val="000000" w:themeColor="text1"/>
                <w:sz w:val="24"/>
              </w:rPr>
            </w:pPr>
          </w:p>
        </w:tc>
        <w:tc>
          <w:tcPr>
            <w:tcW w:w="1824" w:type="dxa"/>
            <w:vMerge w:val="restart"/>
            <w:tcBorders>
              <w:tl2br w:val="nil"/>
              <w:tr2bl w:val="nil"/>
            </w:tcBorders>
            <w:shd w:val="clear" w:color="auto" w:fill="auto"/>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（十）消防中控</w:t>
            </w:r>
          </w:p>
        </w:tc>
        <w:tc>
          <w:tcPr>
            <w:tcW w:w="1800" w:type="dxa"/>
            <w:tcBorders>
              <w:tl2br w:val="nil"/>
              <w:tr2bl w:val="nil"/>
            </w:tcBorders>
            <w:shd w:val="clear" w:color="auto" w:fill="auto"/>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《北京市消防条例》</w:t>
            </w:r>
          </w:p>
        </w:tc>
        <w:tc>
          <w:tcPr>
            <w:tcW w:w="8514" w:type="dxa"/>
            <w:tcBorders>
              <w:tl2br w:val="nil"/>
              <w:tr2bl w:val="nil"/>
            </w:tcBorders>
            <w:shd w:val="clear" w:color="auto" w:fill="auto"/>
            <w:vAlign w:val="center"/>
          </w:tcPr>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第十二条</w:t>
            </w:r>
            <w:r>
              <w:rPr>
                <w:rFonts w:hint="eastAsia" w:ascii="仿宋_GB2312" w:hAnsi="仿宋" w:eastAsia="仿宋_GB2312" w:cs="仿宋"/>
                <w:color w:val="000000" w:themeColor="text1"/>
                <w:sz w:val="24"/>
              </w:rPr>
              <w:t>　单位应当履行下列消防安全职责：</w:t>
            </w:r>
          </w:p>
          <w:p>
            <w:pPr>
              <w:snapToGrid w:val="0"/>
              <w:spacing w:line="400" w:lineRule="exact"/>
              <w:ind w:firstLine="480" w:firstLineChars="200"/>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（八）按照国家标准设置消防控制室，消防控制室的值班人员应当遵守国家和本市消防控制室操作规程，不得擅离职守；</w:t>
            </w:r>
            <w:r>
              <w:rPr>
                <w:rFonts w:hint="eastAsia" w:ascii="仿宋_GB2312" w:hAnsi="仿宋" w:eastAsia="仿宋_GB2312" w:cs="仿宋"/>
                <w:color w:val="000000" w:themeColor="text1"/>
                <w:sz w:val="24"/>
              </w:rPr>
              <w:br w:type="textWrapping"/>
            </w:r>
            <w:r>
              <w:rPr>
                <w:rFonts w:hint="eastAsia" w:ascii="仿宋_GB2312" w:hAnsi="仿宋" w:eastAsia="仿宋_GB2312" w:cs="仿宋"/>
                <w:b/>
                <w:bCs/>
                <w:color w:val="000000" w:themeColor="text1"/>
                <w:sz w:val="24"/>
              </w:rPr>
              <w:t xml:space="preserve"> </w:t>
            </w:r>
            <w:r>
              <w:rPr>
                <w:rFonts w:ascii="仿宋_GB2312" w:hAnsi="仿宋" w:eastAsia="仿宋_GB2312" w:cs="仿宋"/>
                <w:b/>
                <w:bCs/>
                <w:color w:val="000000" w:themeColor="text1"/>
                <w:sz w:val="24"/>
              </w:rPr>
              <w:t xml:space="preserve">   </w:t>
            </w:r>
            <w:r>
              <w:rPr>
                <w:rFonts w:hint="eastAsia" w:ascii="仿宋_GB2312" w:hAnsi="仿宋" w:eastAsia="仿宋_GB2312" w:cs="仿宋"/>
                <w:b/>
                <w:bCs/>
                <w:color w:val="000000" w:themeColor="text1"/>
                <w:sz w:val="24"/>
              </w:rPr>
              <w:t>第八十条</w:t>
            </w:r>
            <w:r>
              <w:rPr>
                <w:rFonts w:hint="eastAsia" w:ascii="仿宋_GB2312" w:hAnsi="仿宋" w:eastAsia="仿宋_GB2312" w:cs="仿宋"/>
                <w:color w:val="000000" w:themeColor="text1"/>
                <w:sz w:val="24"/>
              </w:rPr>
              <w:t>　单位消防控制室的值班人员有擅离职守等违反国家和本市消防控制室操作规程行为，或者单位未对本单位消防设备操作控制人员、专职和兼职防火人员等重点岗位的人员进行专项培训的，责令改正，并可处500元以上5000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7" w:hRule="atLeast"/>
          <w:jc w:val="center"/>
        </w:trPr>
        <w:tc>
          <w:tcPr>
            <w:tcW w:w="1398" w:type="dxa"/>
            <w:vMerge w:val="continue"/>
            <w:tcBorders>
              <w:tl2br w:val="nil"/>
              <w:tr2bl w:val="nil"/>
            </w:tcBorders>
            <w:shd w:val="clear" w:color="auto" w:fill="auto"/>
            <w:vAlign w:val="center"/>
          </w:tcPr>
          <w:p>
            <w:pPr>
              <w:widowControl/>
              <w:snapToGrid w:val="0"/>
              <w:spacing w:line="400" w:lineRule="exact"/>
              <w:jc w:val="left"/>
              <w:textAlignment w:val="center"/>
              <w:rPr>
                <w:rFonts w:ascii="仿宋_GB2312" w:eastAsia="仿宋_GB2312"/>
                <w:color w:val="000000" w:themeColor="text1"/>
                <w:sz w:val="24"/>
              </w:rPr>
            </w:pPr>
          </w:p>
        </w:tc>
        <w:tc>
          <w:tcPr>
            <w:tcW w:w="1824" w:type="dxa"/>
            <w:vMerge w:val="continue"/>
            <w:tcBorders>
              <w:tl2br w:val="nil"/>
              <w:tr2bl w:val="nil"/>
            </w:tcBorders>
            <w:shd w:val="clear" w:color="auto" w:fill="auto"/>
            <w:vAlign w:val="center"/>
          </w:tcPr>
          <w:p>
            <w:pPr>
              <w:widowControl/>
              <w:snapToGrid w:val="0"/>
              <w:spacing w:line="400" w:lineRule="exact"/>
              <w:jc w:val="left"/>
              <w:textAlignment w:val="center"/>
              <w:rPr>
                <w:rFonts w:ascii="仿宋_GB2312" w:eastAsia="仿宋_GB2312"/>
                <w:color w:val="000000" w:themeColor="text1"/>
                <w:sz w:val="24"/>
              </w:rPr>
            </w:pPr>
          </w:p>
        </w:tc>
        <w:tc>
          <w:tcPr>
            <w:tcW w:w="1800" w:type="dxa"/>
            <w:tcBorders>
              <w:tl2br w:val="nil"/>
              <w:tr2bl w:val="nil"/>
            </w:tcBorders>
            <w:shd w:val="clear" w:color="auto" w:fill="auto"/>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《高层民用建筑消防安全管理规定》</w:t>
            </w:r>
          </w:p>
        </w:tc>
        <w:tc>
          <w:tcPr>
            <w:tcW w:w="8514" w:type="dxa"/>
            <w:tcBorders>
              <w:tl2br w:val="nil"/>
              <w:tr2bl w:val="nil"/>
            </w:tcBorders>
            <w:shd w:val="clear" w:color="auto" w:fill="auto"/>
            <w:vAlign w:val="center"/>
          </w:tcPr>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第二十六条</w:t>
            </w:r>
            <w:r>
              <w:rPr>
                <w:rFonts w:hint="eastAsia" w:ascii="仿宋_GB2312" w:hAnsi="仿宋" w:eastAsia="仿宋_GB2312" w:cs="仿宋"/>
                <w:color w:val="000000" w:themeColor="text1"/>
                <w:sz w:val="24"/>
              </w:rPr>
              <w:t>　高层民用建筑消防控制室应当由其管理单位实行24小时值班制度，每班不应少于2名值班人员。</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消防控制室值班操作人员应当依法取得相应等级的消防行业特有工种职业资格证书，熟练掌握火警处置程序和要求，按照有关规定检查自动消防设施、联动控制设备运行情况，确保其处于正常工作状态。</w:t>
            </w:r>
          </w:p>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第四十七条</w:t>
            </w:r>
            <w:r>
              <w:rPr>
                <w:rFonts w:hint="eastAsia" w:ascii="仿宋_GB2312" w:hAnsi="仿宋" w:eastAsia="仿宋_GB2312" w:cs="仿宋"/>
                <w:color w:val="000000" w:themeColor="text1"/>
                <w:sz w:val="24"/>
              </w:rPr>
              <w:t>　违反本规定，有下列行为之一的，由消防救援机构责令改正，对经营性单位和个人处2000元以上10000元以下罚款，对非经营性单位和个人处500元以上1000元以下罚款：</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（四）未按照规定落实消防控制室值班制度，或者安排不具备相应条件的人员值班的；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9" w:hRule="atLeast"/>
          <w:jc w:val="center"/>
        </w:trPr>
        <w:tc>
          <w:tcPr>
            <w:tcW w:w="1398" w:type="dxa"/>
            <w:vMerge w:val="continue"/>
            <w:tcBorders>
              <w:tl2br w:val="nil"/>
              <w:tr2bl w:val="nil"/>
            </w:tcBorders>
            <w:shd w:val="clear" w:color="auto" w:fill="auto"/>
            <w:vAlign w:val="center"/>
          </w:tcPr>
          <w:p>
            <w:pPr>
              <w:widowControl/>
              <w:snapToGrid w:val="0"/>
              <w:spacing w:line="400" w:lineRule="exact"/>
              <w:jc w:val="center"/>
              <w:textAlignment w:val="bottom"/>
              <w:rPr>
                <w:rFonts w:ascii="仿宋_GB2312" w:hAnsi="宋体" w:eastAsia="仿宋_GB2312" w:cs="宋体"/>
                <w:color w:val="000000" w:themeColor="text1"/>
                <w:sz w:val="24"/>
              </w:rPr>
            </w:pPr>
          </w:p>
        </w:tc>
        <w:tc>
          <w:tcPr>
            <w:tcW w:w="1824" w:type="dxa"/>
            <w:vMerge w:val="restart"/>
            <w:tcBorders>
              <w:tl2br w:val="nil"/>
              <w:tr2bl w:val="nil"/>
            </w:tcBorders>
            <w:shd w:val="clear" w:color="auto" w:fill="auto"/>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（十一）明火作业</w:t>
            </w:r>
          </w:p>
        </w:tc>
        <w:tc>
          <w:tcPr>
            <w:tcW w:w="1800" w:type="dxa"/>
            <w:tcBorders>
              <w:tl2br w:val="nil"/>
              <w:tr2bl w:val="nil"/>
            </w:tcBorders>
            <w:shd w:val="clear" w:color="auto" w:fill="auto"/>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《消防法》</w:t>
            </w:r>
          </w:p>
        </w:tc>
        <w:tc>
          <w:tcPr>
            <w:tcW w:w="8514" w:type="dxa"/>
            <w:tcBorders>
              <w:tl2br w:val="nil"/>
              <w:tr2bl w:val="nil"/>
            </w:tcBorders>
            <w:shd w:val="clear" w:color="auto" w:fill="auto"/>
            <w:vAlign w:val="center"/>
          </w:tcPr>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第二十一条</w:t>
            </w:r>
            <w:r>
              <w:rPr>
                <w:rFonts w:hint="eastAsia" w:ascii="仿宋_GB2312" w:hAnsi="仿宋" w:eastAsia="仿宋_GB2312" w:cs="仿宋"/>
                <w:color w:val="000000" w:themeColor="text1"/>
                <w:sz w:val="24"/>
              </w:rPr>
              <w:t>　因施工等特殊情况需要使用明火作业的，应当按照规定事先办理审批手续，采取相应的消防安全措施；作业人员应当遵守消防安全规定。</w:t>
            </w:r>
          </w:p>
          <w:p>
            <w:pPr>
              <w:snapToGrid w:val="0"/>
              <w:spacing w:line="400" w:lineRule="exact"/>
              <w:ind w:firstLine="480" w:firstLineChars="200"/>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进行电焊、气焊等具有火灾危险作业的人员和自动消防系统的操作人员，必须持证上岗，并遵守消防安全操作规程。</w:t>
            </w:r>
          </w:p>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第六十三条</w:t>
            </w:r>
            <w:r>
              <w:rPr>
                <w:rFonts w:hint="eastAsia" w:ascii="仿宋_GB2312" w:hAnsi="仿宋" w:eastAsia="仿宋_GB2312" w:cs="仿宋"/>
                <w:color w:val="000000" w:themeColor="text1"/>
                <w:sz w:val="24"/>
              </w:rPr>
              <w:t>　违反本法规定，有下列行为之一的，处警告或者五百元以下罚款；情节严重的，处五日以下拘留：</w:t>
            </w:r>
          </w:p>
          <w:p>
            <w:pPr>
              <w:snapToGrid w:val="0"/>
              <w:spacing w:line="400" w:lineRule="exact"/>
              <w:ind w:firstLine="480" w:firstLineChars="200"/>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（二）违反规定使用明火作业或者在具有火灾、爆炸危险的场所吸烟、使用明火的。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5" w:hRule="atLeast"/>
          <w:jc w:val="center"/>
        </w:trPr>
        <w:tc>
          <w:tcPr>
            <w:tcW w:w="1398" w:type="dxa"/>
            <w:vMerge w:val="continue"/>
            <w:tcBorders>
              <w:tl2br w:val="nil"/>
              <w:tr2bl w:val="nil"/>
            </w:tcBorders>
            <w:shd w:val="clear" w:color="auto" w:fill="auto"/>
            <w:vAlign w:val="center"/>
          </w:tcPr>
          <w:p>
            <w:pPr>
              <w:widowControl/>
              <w:snapToGrid w:val="0"/>
              <w:spacing w:line="400" w:lineRule="exact"/>
              <w:jc w:val="left"/>
              <w:textAlignment w:val="center"/>
              <w:rPr>
                <w:rFonts w:ascii="仿宋_GB2312" w:eastAsia="仿宋_GB2312"/>
                <w:color w:val="000000" w:themeColor="text1"/>
                <w:sz w:val="24"/>
              </w:rPr>
            </w:pPr>
          </w:p>
        </w:tc>
        <w:tc>
          <w:tcPr>
            <w:tcW w:w="1824" w:type="dxa"/>
            <w:vMerge w:val="continue"/>
            <w:tcBorders>
              <w:tl2br w:val="nil"/>
              <w:tr2bl w:val="nil"/>
            </w:tcBorders>
            <w:shd w:val="clear" w:color="auto" w:fill="auto"/>
            <w:vAlign w:val="center"/>
          </w:tcPr>
          <w:p>
            <w:pPr>
              <w:widowControl/>
              <w:snapToGrid w:val="0"/>
              <w:spacing w:line="400" w:lineRule="exact"/>
              <w:jc w:val="left"/>
              <w:textAlignment w:val="center"/>
              <w:rPr>
                <w:rFonts w:ascii="仿宋_GB2312" w:eastAsia="仿宋_GB2312"/>
                <w:color w:val="000000" w:themeColor="text1"/>
                <w:sz w:val="24"/>
              </w:rPr>
            </w:pPr>
          </w:p>
        </w:tc>
        <w:tc>
          <w:tcPr>
            <w:tcW w:w="1800" w:type="dxa"/>
            <w:tcBorders>
              <w:tl2br w:val="nil"/>
              <w:tr2bl w:val="nil"/>
            </w:tcBorders>
            <w:shd w:val="clear" w:color="auto" w:fill="auto"/>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《高层民用建筑消防安全管理规定》</w:t>
            </w:r>
          </w:p>
        </w:tc>
        <w:tc>
          <w:tcPr>
            <w:tcW w:w="8514" w:type="dxa"/>
            <w:tcBorders>
              <w:tl2br w:val="nil"/>
              <w:tr2bl w:val="nil"/>
            </w:tcBorders>
            <w:shd w:val="clear" w:color="auto" w:fill="auto"/>
            <w:vAlign w:val="center"/>
          </w:tcPr>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第十五条</w:t>
            </w:r>
            <w:r>
              <w:rPr>
                <w:rFonts w:hint="eastAsia" w:ascii="仿宋_GB2312" w:hAnsi="仿宋" w:eastAsia="仿宋_GB2312" w:cs="仿宋"/>
                <w:color w:val="000000" w:themeColor="text1"/>
                <w:sz w:val="24"/>
              </w:rPr>
              <w:t>　高层民用建筑的业主、使用人或者物业服务企业、统一管理人应当对动用明火作业实行严格的消防安全管理，不得在具有火灾、爆炸危险的场所使用明火；因施工等特殊情况需要进行电焊、气焊等明火作业的，应当按照规定办理动火审批手续，落实现场监护人，配备消防器材，并在建筑主入口和作业现场显著位置公告。作业人员应当依法持证上岗，严格遵守消防安全规定，清除周围及下方的易燃、可燃物，采取防火隔离措施。作业完毕后，应当进行全面检查，消除遗留火种。</w:t>
            </w:r>
          </w:p>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第四十七条</w:t>
            </w:r>
            <w:r>
              <w:rPr>
                <w:rFonts w:hint="eastAsia" w:ascii="仿宋_GB2312" w:hAnsi="仿宋" w:eastAsia="仿宋_GB2312" w:cs="仿宋"/>
                <w:color w:val="000000" w:themeColor="text1"/>
                <w:sz w:val="24"/>
              </w:rPr>
              <w:t>　违反本规定，有下列行为之一的，由消防救援机构责令改正，对经营性单位和个人处2000元以上10000元以下罚款，对非经营性单位和个人处500元以上1000元以下罚款：</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（一）在高层民用建筑内进行电焊、气焊等明火作业，未履行动火审批手续、进行公告，或者未落实消防现场监护措施的。</w:t>
            </w:r>
          </w:p>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第四十七条</w:t>
            </w:r>
            <w:r>
              <w:rPr>
                <w:rFonts w:hint="eastAsia" w:ascii="仿宋_GB2312" w:hAnsi="仿宋" w:eastAsia="仿宋_GB2312" w:cs="仿宋"/>
                <w:color w:val="000000" w:themeColor="text1"/>
                <w:sz w:val="24"/>
              </w:rPr>
              <w:t>　违反本规定，有下列行为之一的，由消防救援机构责令改正，对经营性单位和个人处2000元以上10000元以下罚款，对非经营性单位和个人处500元以上1000元以下罚款：</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（一）在高层民用建筑内进行电焊、气焊等明火作业，未履行动火审批手续、进行公告，或者未落实消防现场监护措施的。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51" w:hRule="atLeast"/>
          <w:jc w:val="center"/>
        </w:trPr>
        <w:tc>
          <w:tcPr>
            <w:tcW w:w="1398" w:type="dxa"/>
            <w:vMerge w:val="continue"/>
            <w:tcBorders>
              <w:tl2br w:val="nil"/>
              <w:tr2bl w:val="nil"/>
            </w:tcBorders>
            <w:shd w:val="clear" w:color="auto" w:fill="auto"/>
            <w:vAlign w:val="center"/>
          </w:tcPr>
          <w:p>
            <w:pPr>
              <w:widowControl/>
              <w:snapToGrid w:val="0"/>
              <w:spacing w:line="400" w:lineRule="exact"/>
              <w:jc w:val="left"/>
              <w:textAlignment w:val="center"/>
              <w:rPr>
                <w:rFonts w:ascii="仿宋_GB2312" w:eastAsia="仿宋_GB2312"/>
                <w:color w:val="000000" w:themeColor="text1"/>
                <w:sz w:val="24"/>
              </w:rPr>
            </w:pPr>
          </w:p>
        </w:tc>
        <w:tc>
          <w:tcPr>
            <w:tcW w:w="1824" w:type="dxa"/>
            <w:vMerge w:val="continue"/>
            <w:tcBorders>
              <w:tl2br w:val="nil"/>
              <w:tr2bl w:val="nil"/>
            </w:tcBorders>
            <w:shd w:val="clear" w:color="auto" w:fill="auto"/>
            <w:vAlign w:val="center"/>
          </w:tcPr>
          <w:p>
            <w:pPr>
              <w:widowControl/>
              <w:snapToGrid w:val="0"/>
              <w:spacing w:line="400" w:lineRule="exact"/>
              <w:jc w:val="left"/>
              <w:textAlignment w:val="center"/>
              <w:rPr>
                <w:rFonts w:ascii="仿宋_GB2312" w:eastAsia="仿宋_GB2312"/>
                <w:color w:val="000000" w:themeColor="text1"/>
                <w:sz w:val="24"/>
              </w:rPr>
            </w:pPr>
          </w:p>
        </w:tc>
        <w:tc>
          <w:tcPr>
            <w:tcW w:w="1800" w:type="dxa"/>
            <w:tcBorders>
              <w:tl2br w:val="nil"/>
              <w:tr2bl w:val="nil"/>
            </w:tcBorders>
            <w:shd w:val="clear" w:color="auto" w:fill="auto"/>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《北京市单位消防安全主体责任规定》</w:t>
            </w:r>
          </w:p>
        </w:tc>
        <w:tc>
          <w:tcPr>
            <w:tcW w:w="8514" w:type="dxa"/>
            <w:tcBorders>
              <w:tl2br w:val="nil"/>
              <w:tr2bl w:val="nil"/>
            </w:tcBorders>
            <w:shd w:val="clear" w:color="auto" w:fill="auto"/>
            <w:vAlign w:val="center"/>
          </w:tcPr>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第十六条</w:t>
            </w:r>
            <w:r>
              <w:rPr>
                <w:rFonts w:hint="eastAsia" w:ascii="仿宋_GB2312" w:hAnsi="仿宋" w:eastAsia="仿宋_GB2312" w:cs="仿宋"/>
                <w:color w:val="000000" w:themeColor="text1"/>
                <w:sz w:val="24"/>
              </w:rPr>
              <w:t>　单位进行局部装修、改造施工，应当履行下列施工现场消防安全责任：</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（一）明确划分施工区域，将施工区域和非施工区域进行有效的防火分隔，并确保非施工区域的人员疏散和建筑消防设施的正常使用；</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（二）制定动火作业管理制度，明确动火作业的安全要求、审批程序和责任人员，对动火作业实施审批管理；</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（三）监督施工单位落实本市有关建筑材料、涂料的使用，以及危险物品安全管理的要求；</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（四）在施工区域建立健全视频监控等技术措施，加强消防安全的动态监测和检查巡视；人员密集场所施工期间，还应当安排专人进行现场监护；</w:t>
            </w:r>
          </w:p>
          <w:p>
            <w:pPr>
              <w:widowControl/>
              <w:snapToGrid w:val="0"/>
              <w:spacing w:line="400" w:lineRule="exact"/>
              <w:ind w:firstLine="480"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（五）制定施工期间灭火和应急疏散专项预案，并组织施工单位进行演练。</w:t>
            </w:r>
          </w:p>
          <w:p>
            <w:pPr>
              <w:widowControl/>
              <w:snapToGrid w:val="0"/>
              <w:spacing w:line="400" w:lineRule="exact"/>
              <w:ind w:firstLine="481" w:firstLineChars="200"/>
              <w:jc w:val="left"/>
              <w:textAlignment w:val="center"/>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第三十四条</w:t>
            </w:r>
            <w:r>
              <w:rPr>
                <w:rFonts w:hint="eastAsia" w:ascii="仿宋_GB2312" w:hAnsi="仿宋" w:eastAsia="仿宋_GB2312" w:cs="仿宋"/>
                <w:color w:val="000000" w:themeColor="text1"/>
                <w:sz w:val="24"/>
              </w:rPr>
              <w:t>　违反本规定第十六条第一款第二项规定，未制定动火作业管理制度的，由消防救援机构责令改正，处1000元以上5000元以下罚款。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398" w:type="dxa"/>
            <w:vMerge w:val="continue"/>
            <w:tcBorders>
              <w:tl2br w:val="nil"/>
              <w:tr2bl w:val="nil"/>
            </w:tcBorders>
            <w:shd w:val="clear" w:color="auto" w:fill="auto"/>
            <w:vAlign w:val="center"/>
          </w:tcPr>
          <w:p>
            <w:pPr>
              <w:widowControl/>
              <w:snapToGrid w:val="0"/>
              <w:spacing w:line="400" w:lineRule="exact"/>
              <w:jc w:val="center"/>
              <w:textAlignment w:val="bottom"/>
              <w:rPr>
                <w:rFonts w:ascii="仿宋_GB2312" w:hAnsi="宋体" w:eastAsia="仿宋_GB2312" w:cs="宋体"/>
                <w:color w:val="000000" w:themeColor="text1"/>
                <w:sz w:val="24"/>
              </w:rPr>
            </w:pPr>
          </w:p>
        </w:tc>
        <w:tc>
          <w:tcPr>
            <w:tcW w:w="1824" w:type="dxa"/>
            <w:tcBorders>
              <w:tl2br w:val="nil"/>
              <w:tr2bl w:val="nil"/>
            </w:tcBorders>
            <w:shd w:val="clear" w:color="auto" w:fill="auto"/>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（十二）消防标识</w:t>
            </w:r>
          </w:p>
        </w:tc>
        <w:tc>
          <w:tcPr>
            <w:tcW w:w="1800" w:type="dxa"/>
            <w:tcBorders>
              <w:tl2br w:val="nil"/>
              <w:tr2bl w:val="nil"/>
            </w:tcBorders>
            <w:shd w:val="clear" w:color="auto" w:fill="auto"/>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《高层民用建筑消防安全管理规定》</w:t>
            </w:r>
          </w:p>
        </w:tc>
        <w:tc>
          <w:tcPr>
            <w:tcW w:w="8514" w:type="dxa"/>
            <w:tcBorders>
              <w:tl2br w:val="nil"/>
              <w:tr2bl w:val="nil"/>
            </w:tcBorders>
            <w:shd w:val="clear" w:color="auto" w:fill="auto"/>
            <w:vAlign w:val="center"/>
          </w:tcPr>
          <w:p>
            <w:pPr>
              <w:snapToGrid w:val="0"/>
              <w:ind w:firstLine="220" w:firstLineChars="200"/>
              <w:rPr>
                <w:rFonts w:ascii="仿宋_GB2312" w:hAnsi="仿宋" w:eastAsia="仿宋_GB2312" w:cs="仿宋"/>
                <w:b/>
                <w:bCs/>
                <w:color w:val="000000" w:themeColor="text1"/>
                <w:sz w:val="11"/>
                <w:szCs w:val="11"/>
              </w:rPr>
            </w:pPr>
          </w:p>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第十九条</w:t>
            </w:r>
            <w:r>
              <w:rPr>
                <w:rFonts w:hint="eastAsia" w:ascii="仿宋_GB2312" w:hAnsi="仿宋" w:eastAsia="仿宋_GB2312" w:cs="仿宋"/>
                <w:color w:val="000000" w:themeColor="text1"/>
                <w:sz w:val="24"/>
              </w:rPr>
              <w:t>　设有建筑外墙外保温系统的高层民用建筑，其管理单位应当在主入口及周边相关显著位置，设置提示性和警示性标识，标示外墙外保温材料的燃烧性能、防火要求。对高层民用建筑外墙外保温系统破损、开裂和脱落的，应当及时修复。高层民用建筑在进行外墙外保温系统施工时，建设单位应当采取必要的防火隔离以及限制住人和使用的措施，确保建筑内人员安全。</w:t>
            </w:r>
          </w:p>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第四十七条</w:t>
            </w:r>
            <w:r>
              <w:rPr>
                <w:rFonts w:hint="eastAsia" w:ascii="仿宋_GB2312" w:hAnsi="仿宋" w:eastAsia="仿宋_GB2312" w:cs="仿宋"/>
                <w:color w:val="000000" w:themeColor="text1"/>
                <w:sz w:val="24"/>
              </w:rPr>
              <w:t>　违反本规定，有下列行为之一的，由消防救援机构责令改正，对经营性单位和个人处2000元以上10000元以下罚款，对非经营性单位和个人处500元以上1000元以下罚款：</w:t>
            </w:r>
          </w:p>
          <w:p>
            <w:pPr>
              <w:pStyle w:val="41"/>
              <w:numPr>
                <w:ilvl w:val="0"/>
                <w:numId w:val="10"/>
              </w:numPr>
              <w:snapToGrid w:val="0"/>
              <w:spacing w:line="400" w:lineRule="exact"/>
              <w:ind w:firstLineChars="0"/>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未设置外墙外保温材料提示性和警示性标识。</w:t>
            </w:r>
          </w:p>
          <w:p>
            <w:pPr>
              <w:snapToGrid w:val="0"/>
              <w:rPr>
                <w:rFonts w:ascii="仿宋_GB2312" w:hAnsi="仿宋" w:eastAsia="仿宋_GB2312" w:cs="仿宋"/>
                <w:color w:val="000000" w:themeColor="text1"/>
                <w:sz w:val="11"/>
                <w:szCs w:val="1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3" w:hRule="atLeast"/>
          <w:jc w:val="center"/>
        </w:trPr>
        <w:tc>
          <w:tcPr>
            <w:tcW w:w="1398" w:type="dxa"/>
            <w:vMerge w:val="continue"/>
            <w:tcBorders>
              <w:tl2br w:val="nil"/>
              <w:tr2bl w:val="nil"/>
            </w:tcBorders>
            <w:shd w:val="clear" w:color="auto" w:fill="auto"/>
            <w:vAlign w:val="center"/>
          </w:tcPr>
          <w:p>
            <w:pPr>
              <w:widowControl/>
              <w:snapToGrid w:val="0"/>
              <w:spacing w:line="400" w:lineRule="exact"/>
              <w:jc w:val="center"/>
              <w:textAlignment w:val="bottom"/>
              <w:rPr>
                <w:rFonts w:ascii="仿宋_GB2312" w:hAnsi="宋体" w:eastAsia="仿宋_GB2312" w:cs="宋体"/>
                <w:color w:val="000000" w:themeColor="text1"/>
                <w:sz w:val="24"/>
              </w:rPr>
            </w:pPr>
          </w:p>
        </w:tc>
        <w:tc>
          <w:tcPr>
            <w:tcW w:w="1824" w:type="dxa"/>
            <w:tcBorders>
              <w:tl2br w:val="nil"/>
              <w:tr2bl w:val="nil"/>
            </w:tcBorders>
            <w:shd w:val="clear" w:color="auto" w:fill="auto"/>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（十三）保温修复</w:t>
            </w:r>
          </w:p>
        </w:tc>
        <w:tc>
          <w:tcPr>
            <w:tcW w:w="1800" w:type="dxa"/>
            <w:tcBorders>
              <w:tl2br w:val="nil"/>
              <w:tr2bl w:val="nil"/>
            </w:tcBorders>
            <w:shd w:val="clear" w:color="auto" w:fill="auto"/>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《高层民用建筑消防安全管理规定》</w:t>
            </w:r>
          </w:p>
        </w:tc>
        <w:tc>
          <w:tcPr>
            <w:tcW w:w="8514" w:type="dxa"/>
            <w:tcBorders>
              <w:tl2br w:val="nil"/>
              <w:tr2bl w:val="nil"/>
            </w:tcBorders>
            <w:shd w:val="clear" w:color="auto" w:fill="auto"/>
            <w:vAlign w:val="center"/>
          </w:tcPr>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第十九条</w:t>
            </w:r>
            <w:r>
              <w:rPr>
                <w:rFonts w:hint="eastAsia" w:ascii="仿宋_GB2312" w:hAnsi="仿宋" w:eastAsia="仿宋_GB2312" w:cs="仿宋"/>
                <w:color w:val="000000" w:themeColor="text1"/>
                <w:sz w:val="24"/>
              </w:rPr>
              <w:t>　设有建筑外墙外保温系统的高层民用建筑，其管理单位应当在主入口及周边相关显著位置，设置提示性和警示性标识，标示外墙外保温材料的燃烧性能、防火要求。对高层民用建筑外墙外保温系统破损、开裂和脱落的，应当及时修复。</w:t>
            </w:r>
          </w:p>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第四十七条</w:t>
            </w:r>
            <w:r>
              <w:rPr>
                <w:rFonts w:hint="eastAsia" w:ascii="仿宋_GB2312" w:hAnsi="仿宋" w:eastAsia="仿宋_GB2312" w:cs="仿宋"/>
                <w:color w:val="000000" w:themeColor="text1"/>
                <w:sz w:val="24"/>
              </w:rPr>
              <w:t>　违反本规定，有下列行为之一的，由消防救援机构责令改正，对经营性单位和个人处2000元以上10000元以下罚款，对非经营性单位和个人处500元以上1000元以下罚款：</w:t>
            </w:r>
          </w:p>
          <w:p>
            <w:pPr>
              <w:snapToGrid w:val="0"/>
              <w:spacing w:line="400" w:lineRule="exact"/>
              <w:ind w:firstLine="480" w:firstLineChars="200"/>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（三）未及时修复破损、开裂和脱落的外墙外保温系统的。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64" w:hRule="atLeast"/>
          <w:jc w:val="center"/>
        </w:trPr>
        <w:tc>
          <w:tcPr>
            <w:tcW w:w="1398" w:type="dxa"/>
            <w:vMerge w:val="continue"/>
            <w:tcBorders>
              <w:tl2br w:val="nil"/>
              <w:tr2bl w:val="nil"/>
            </w:tcBorders>
            <w:shd w:val="clear" w:color="auto" w:fill="auto"/>
            <w:vAlign w:val="center"/>
          </w:tcPr>
          <w:p>
            <w:pPr>
              <w:widowControl/>
              <w:snapToGrid w:val="0"/>
              <w:spacing w:line="400" w:lineRule="exact"/>
              <w:jc w:val="center"/>
              <w:textAlignment w:val="bottom"/>
              <w:rPr>
                <w:rFonts w:ascii="仿宋_GB2312" w:hAnsi="宋体" w:eastAsia="仿宋_GB2312" w:cs="宋体"/>
                <w:color w:val="000000" w:themeColor="text1"/>
                <w:sz w:val="24"/>
              </w:rPr>
            </w:pPr>
          </w:p>
        </w:tc>
        <w:tc>
          <w:tcPr>
            <w:tcW w:w="1824" w:type="dxa"/>
            <w:tcBorders>
              <w:tl2br w:val="nil"/>
              <w:tr2bl w:val="nil"/>
            </w:tcBorders>
            <w:shd w:val="clear" w:color="auto" w:fill="auto"/>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（十四）消防队伍</w:t>
            </w:r>
          </w:p>
        </w:tc>
        <w:tc>
          <w:tcPr>
            <w:tcW w:w="1800" w:type="dxa"/>
            <w:tcBorders>
              <w:tl2br w:val="nil"/>
              <w:tr2bl w:val="nil"/>
            </w:tcBorders>
            <w:shd w:val="clear" w:color="auto" w:fill="auto"/>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《高层民用建筑消防安全管理规定》、</w:t>
            </w:r>
          </w:p>
        </w:tc>
        <w:tc>
          <w:tcPr>
            <w:tcW w:w="8514" w:type="dxa"/>
            <w:tcBorders>
              <w:tl2br w:val="nil"/>
              <w:tr2bl w:val="nil"/>
            </w:tcBorders>
            <w:shd w:val="clear" w:color="auto" w:fill="auto"/>
            <w:vAlign w:val="center"/>
          </w:tcPr>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第二十七条</w:t>
            </w:r>
            <w:r>
              <w:rPr>
                <w:rFonts w:hint="eastAsia" w:ascii="仿宋_GB2312" w:hAnsi="仿宋" w:eastAsia="仿宋_GB2312" w:cs="仿宋"/>
                <w:color w:val="000000" w:themeColor="text1"/>
                <w:sz w:val="24"/>
              </w:rPr>
              <w:t>　高层公共建筑内有关单位、高层住宅建筑所在社区居民委员会或者物业服务企业按照规定建立的专职消防队、志愿消防队（微型消防站）等消防组织，应当配备必要的人员、场所和器材、装备，定期进行消防技能培训和演练，开展防火巡查、消防宣传，及时处置、扑救初起火灾。</w:t>
            </w:r>
          </w:p>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第四十七条</w:t>
            </w:r>
            <w:r>
              <w:rPr>
                <w:rFonts w:hint="eastAsia" w:ascii="仿宋_GB2312" w:hAnsi="仿宋" w:eastAsia="仿宋_GB2312" w:cs="仿宋"/>
                <w:color w:val="000000" w:themeColor="text1"/>
                <w:sz w:val="24"/>
              </w:rPr>
              <w:t>　违反本规定，有下列行为之一的，由消防救援机构责令改正，对经营性单位和个人处2000元以上10000元以下罚款，对非经营性单位和个人处500元以上1000元以下罚款：</w:t>
            </w:r>
          </w:p>
          <w:p>
            <w:pPr>
              <w:snapToGrid w:val="0"/>
              <w:spacing w:line="400" w:lineRule="exact"/>
              <w:ind w:firstLine="480" w:firstLineChars="200"/>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（五）未按照规定建立专职消防队、志愿消防队等消防组织的。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18" w:hRule="atLeast"/>
          <w:jc w:val="center"/>
        </w:trPr>
        <w:tc>
          <w:tcPr>
            <w:tcW w:w="1398" w:type="dxa"/>
            <w:vMerge w:val="continue"/>
            <w:tcBorders>
              <w:tl2br w:val="nil"/>
              <w:tr2bl w:val="nil"/>
            </w:tcBorders>
            <w:shd w:val="clear" w:color="auto" w:fill="auto"/>
            <w:vAlign w:val="center"/>
          </w:tcPr>
          <w:p>
            <w:pPr>
              <w:widowControl/>
              <w:snapToGrid w:val="0"/>
              <w:spacing w:line="400" w:lineRule="exact"/>
              <w:jc w:val="center"/>
              <w:textAlignment w:val="bottom"/>
              <w:rPr>
                <w:rFonts w:ascii="仿宋_GB2312" w:hAnsi="宋体" w:eastAsia="仿宋_GB2312" w:cs="宋体"/>
                <w:color w:val="000000" w:themeColor="text1"/>
                <w:sz w:val="24"/>
              </w:rPr>
            </w:pPr>
          </w:p>
        </w:tc>
        <w:tc>
          <w:tcPr>
            <w:tcW w:w="1824" w:type="dxa"/>
            <w:vMerge w:val="restart"/>
            <w:tcBorders>
              <w:tl2br w:val="nil"/>
              <w:tr2bl w:val="nil"/>
            </w:tcBorders>
            <w:shd w:val="clear" w:color="auto" w:fill="auto"/>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（十五）电动车管理</w:t>
            </w:r>
          </w:p>
        </w:tc>
        <w:tc>
          <w:tcPr>
            <w:tcW w:w="1800" w:type="dxa"/>
            <w:tcBorders>
              <w:tl2br w:val="nil"/>
              <w:tr2bl w:val="nil"/>
            </w:tcBorders>
            <w:shd w:val="clear" w:color="auto" w:fill="auto"/>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《高层民用建筑消防安全管理规定》</w:t>
            </w:r>
          </w:p>
        </w:tc>
        <w:tc>
          <w:tcPr>
            <w:tcW w:w="8514" w:type="dxa"/>
            <w:tcBorders>
              <w:tl2br w:val="nil"/>
              <w:tr2bl w:val="nil"/>
            </w:tcBorders>
            <w:shd w:val="clear" w:color="auto" w:fill="auto"/>
            <w:vAlign w:val="center"/>
          </w:tcPr>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第三十七条</w:t>
            </w:r>
            <w:r>
              <w:rPr>
                <w:rFonts w:hint="eastAsia" w:ascii="仿宋_GB2312" w:hAnsi="仿宋" w:eastAsia="仿宋_GB2312" w:cs="仿宋"/>
                <w:color w:val="000000" w:themeColor="text1"/>
                <w:sz w:val="24"/>
              </w:rPr>
              <w:t>　禁止在高层民用建筑公共门厅、疏散走道、楼梯间、安全出口停放电动自行车或者为电动自行车充电。</w:t>
            </w:r>
          </w:p>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第四十七条</w:t>
            </w:r>
            <w:r>
              <w:rPr>
                <w:rFonts w:hint="eastAsia" w:ascii="仿宋_GB2312" w:hAnsi="仿宋" w:eastAsia="仿宋_GB2312" w:cs="仿宋"/>
                <w:color w:val="000000" w:themeColor="text1"/>
                <w:sz w:val="24"/>
              </w:rPr>
              <w:t>　违反本规定，有下列行为之一的，由消防救援机构责令改正，对经营性单位和个人处2000元以上10000元以下罚款，对非经营性单位和个人处500元以上1000元以下罚款：</w:t>
            </w:r>
          </w:p>
          <w:p>
            <w:pPr>
              <w:snapToGrid w:val="0"/>
              <w:spacing w:line="400" w:lineRule="exact"/>
              <w:ind w:firstLine="480" w:firstLineChars="200"/>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（七）在高层民用建筑的公共门厅、疏散走道、楼梯间、安全出口停放电动自行车。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83" w:hRule="atLeast"/>
          <w:jc w:val="center"/>
        </w:trPr>
        <w:tc>
          <w:tcPr>
            <w:tcW w:w="1398" w:type="dxa"/>
            <w:vMerge w:val="continue"/>
            <w:tcBorders>
              <w:tl2br w:val="nil"/>
              <w:tr2bl w:val="nil"/>
            </w:tcBorders>
            <w:shd w:val="clear" w:color="auto" w:fill="auto"/>
            <w:vAlign w:val="center"/>
          </w:tcPr>
          <w:p>
            <w:pPr>
              <w:widowControl/>
              <w:snapToGrid w:val="0"/>
              <w:spacing w:line="400" w:lineRule="exact"/>
              <w:jc w:val="center"/>
              <w:textAlignment w:val="bottom"/>
              <w:rPr>
                <w:rFonts w:ascii="仿宋_GB2312" w:hAnsi="宋体" w:eastAsia="仿宋_GB2312" w:cs="宋体"/>
                <w:color w:val="000000" w:themeColor="text1"/>
                <w:sz w:val="24"/>
              </w:rPr>
            </w:pPr>
          </w:p>
        </w:tc>
        <w:tc>
          <w:tcPr>
            <w:tcW w:w="1824" w:type="dxa"/>
            <w:vMerge w:val="continue"/>
            <w:tcBorders>
              <w:tl2br w:val="nil"/>
              <w:tr2bl w:val="nil"/>
            </w:tcBorders>
            <w:shd w:val="clear" w:color="auto" w:fill="auto"/>
            <w:vAlign w:val="center"/>
          </w:tcPr>
          <w:p>
            <w:pPr>
              <w:widowControl/>
              <w:snapToGrid w:val="0"/>
              <w:spacing w:line="400" w:lineRule="exact"/>
              <w:textAlignment w:val="center"/>
              <w:rPr>
                <w:rFonts w:ascii="仿宋_GB2312" w:hAnsi="宋体" w:eastAsia="仿宋_GB2312" w:cs="宋体"/>
                <w:color w:val="000000" w:themeColor="text1"/>
                <w:kern w:val="0"/>
                <w:sz w:val="24"/>
              </w:rPr>
            </w:pPr>
          </w:p>
        </w:tc>
        <w:tc>
          <w:tcPr>
            <w:tcW w:w="1800" w:type="dxa"/>
            <w:tcBorders>
              <w:tl2br w:val="nil"/>
              <w:tr2bl w:val="nil"/>
            </w:tcBorders>
            <w:shd w:val="clear" w:color="auto" w:fill="auto"/>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《北京市单位消防安全主体责任规定》</w:t>
            </w:r>
          </w:p>
        </w:tc>
        <w:tc>
          <w:tcPr>
            <w:tcW w:w="8514" w:type="dxa"/>
            <w:tcBorders>
              <w:tl2br w:val="nil"/>
              <w:tr2bl w:val="nil"/>
            </w:tcBorders>
            <w:shd w:val="clear" w:color="auto" w:fill="auto"/>
            <w:vAlign w:val="center"/>
          </w:tcPr>
          <w:p>
            <w:pPr>
              <w:snapToGrid w:val="0"/>
              <w:ind w:firstLine="220" w:firstLineChars="200"/>
              <w:rPr>
                <w:rFonts w:ascii="仿宋_GB2312" w:hAnsi="仿宋" w:eastAsia="仿宋_GB2312" w:cs="仿宋"/>
                <w:b/>
                <w:bCs/>
                <w:color w:val="000000" w:themeColor="text1"/>
                <w:sz w:val="11"/>
                <w:szCs w:val="11"/>
              </w:rPr>
            </w:pPr>
          </w:p>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第十条</w:t>
            </w:r>
            <w:r>
              <w:rPr>
                <w:rFonts w:hint="eastAsia" w:ascii="仿宋_GB2312" w:hAnsi="仿宋" w:eastAsia="仿宋_GB2312" w:cs="仿宋"/>
                <w:color w:val="000000" w:themeColor="text1"/>
                <w:sz w:val="24"/>
              </w:rPr>
              <w:t>　单位应当履行下列日常消防安全管理责任：</w:t>
            </w:r>
          </w:p>
          <w:p>
            <w:pPr>
              <w:snapToGrid w:val="0"/>
              <w:spacing w:line="400" w:lineRule="exact"/>
              <w:ind w:firstLine="480" w:firstLineChars="200"/>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（六）加强本单位电动自行车消防安全管理，依照国家和本市有关标准，设置电动自行车停放、充电场所，并采取措施，制止在建筑物内违规停放电动自行车或者为电动自行车充电的行为。</w:t>
            </w:r>
          </w:p>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第三十一条</w:t>
            </w:r>
            <w:r>
              <w:rPr>
                <w:rFonts w:hint="eastAsia" w:ascii="仿宋_GB2312" w:hAnsi="仿宋" w:eastAsia="仿宋_GB2312" w:cs="仿宋"/>
                <w:color w:val="000000" w:themeColor="text1"/>
                <w:sz w:val="24"/>
              </w:rPr>
              <w:t>　违反本规定第十条第一款第六项规定，未采取措施制止在建筑物内违规停放电动自行车或者为电动自行车充电行为的，由消防救援机构责令限期改正；逾期未改正的，处1000元以上1万元以下罚款。</w:t>
            </w:r>
          </w:p>
          <w:p>
            <w:pPr>
              <w:snapToGrid w:val="0"/>
              <w:ind w:firstLine="480" w:firstLineChars="200"/>
              <w:rPr>
                <w:rFonts w:ascii="仿宋_GB2312" w:hAnsi="仿宋" w:eastAsia="仿宋_GB2312" w:cs="仿宋"/>
                <w:color w:val="000000" w:themeColor="text1"/>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86" w:hRule="atLeast"/>
          <w:jc w:val="center"/>
        </w:trPr>
        <w:tc>
          <w:tcPr>
            <w:tcW w:w="1398" w:type="dxa"/>
            <w:vMerge w:val="continue"/>
            <w:tcBorders>
              <w:tl2br w:val="nil"/>
              <w:tr2bl w:val="nil"/>
            </w:tcBorders>
            <w:shd w:val="clear" w:color="auto" w:fill="auto"/>
            <w:vAlign w:val="center"/>
          </w:tcPr>
          <w:p>
            <w:pPr>
              <w:widowControl/>
              <w:snapToGrid w:val="0"/>
              <w:spacing w:line="400" w:lineRule="exact"/>
              <w:jc w:val="center"/>
              <w:textAlignment w:val="bottom"/>
              <w:rPr>
                <w:rFonts w:ascii="仿宋_GB2312" w:hAnsi="宋体" w:eastAsia="仿宋_GB2312" w:cs="宋体"/>
                <w:color w:val="000000" w:themeColor="text1"/>
                <w:sz w:val="24"/>
              </w:rPr>
            </w:pPr>
          </w:p>
        </w:tc>
        <w:tc>
          <w:tcPr>
            <w:tcW w:w="1824" w:type="dxa"/>
            <w:tcBorders>
              <w:tl2br w:val="nil"/>
              <w:tr2bl w:val="nil"/>
            </w:tcBorders>
            <w:shd w:val="clear" w:color="auto" w:fill="auto"/>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（十六）违规充电</w:t>
            </w:r>
          </w:p>
        </w:tc>
        <w:tc>
          <w:tcPr>
            <w:tcW w:w="1800" w:type="dxa"/>
            <w:tcBorders>
              <w:tl2br w:val="nil"/>
              <w:tr2bl w:val="nil"/>
            </w:tcBorders>
            <w:shd w:val="clear" w:color="auto" w:fill="auto"/>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《北京市物业管理条例》</w:t>
            </w:r>
          </w:p>
        </w:tc>
        <w:tc>
          <w:tcPr>
            <w:tcW w:w="8514" w:type="dxa"/>
            <w:tcBorders>
              <w:tl2br w:val="nil"/>
              <w:tr2bl w:val="nil"/>
            </w:tcBorders>
            <w:shd w:val="clear" w:color="auto" w:fill="auto"/>
            <w:vAlign w:val="center"/>
          </w:tcPr>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第七十八条</w:t>
            </w:r>
            <w:r>
              <w:rPr>
                <w:rFonts w:hint="eastAsia" w:ascii="仿宋_GB2312" w:hAnsi="仿宋" w:eastAsia="仿宋_GB2312" w:cs="仿宋"/>
                <w:color w:val="000000" w:themeColor="text1"/>
                <w:sz w:val="24"/>
              </w:rPr>
              <w:t>　业主、物业使用人应当遵守法律法规和规章的规定以及临时管理规约、管理规约的约定，按照规划用途合理、安全使用物业。</w:t>
            </w:r>
          </w:p>
          <w:p>
            <w:pPr>
              <w:snapToGrid w:val="0"/>
              <w:spacing w:line="400" w:lineRule="exact"/>
              <w:ind w:firstLine="480" w:firstLineChars="200"/>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业主、物业使用人、物业服务人等不得实施下列行为：</w:t>
            </w:r>
          </w:p>
          <w:p>
            <w:pPr>
              <w:snapToGrid w:val="0"/>
              <w:spacing w:line="400" w:lineRule="exact"/>
              <w:ind w:firstLine="480" w:firstLineChars="200"/>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（五）违规私拉电线、电缆为电动汽车、电动自行车、电动摩托车和电动三轮车等充电。</w:t>
            </w:r>
          </w:p>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第九十八条</w:t>
            </w:r>
            <w:r>
              <w:rPr>
                <w:rFonts w:hint="eastAsia" w:ascii="仿宋_GB2312" w:hAnsi="仿宋" w:eastAsia="仿宋_GB2312" w:cs="仿宋"/>
                <w:color w:val="000000" w:themeColor="text1"/>
                <w:sz w:val="24"/>
              </w:rPr>
              <w:t>　物业管理区域内有下列行为之一的，由有关主管部门按照下列规定予以查处：</w:t>
            </w:r>
          </w:p>
          <w:p>
            <w:pPr>
              <w:snapToGrid w:val="0"/>
              <w:spacing w:line="400" w:lineRule="exact"/>
              <w:ind w:firstLine="480" w:firstLineChars="200"/>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（五）违反本条例第七十八条第二款第（五）项规定的，由消防救援机构责令改正，拒不改正的，处五百元以上五千元以下的罚款。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9" w:hRule="atLeast"/>
          <w:jc w:val="center"/>
        </w:trPr>
        <w:tc>
          <w:tcPr>
            <w:tcW w:w="1398" w:type="dxa"/>
            <w:vMerge w:val="continue"/>
            <w:tcBorders>
              <w:tl2br w:val="nil"/>
              <w:tr2bl w:val="nil"/>
            </w:tcBorders>
            <w:shd w:val="clear" w:color="auto" w:fill="auto"/>
            <w:vAlign w:val="center"/>
          </w:tcPr>
          <w:p>
            <w:pPr>
              <w:widowControl/>
              <w:snapToGrid w:val="0"/>
              <w:spacing w:line="400" w:lineRule="exact"/>
              <w:jc w:val="center"/>
              <w:textAlignment w:val="bottom"/>
              <w:rPr>
                <w:rFonts w:ascii="仿宋_GB2312" w:hAnsi="宋体" w:eastAsia="仿宋_GB2312" w:cs="宋体"/>
                <w:color w:val="000000" w:themeColor="text1"/>
                <w:sz w:val="24"/>
              </w:rPr>
            </w:pPr>
          </w:p>
        </w:tc>
        <w:tc>
          <w:tcPr>
            <w:tcW w:w="1824" w:type="dxa"/>
            <w:tcBorders>
              <w:tl2br w:val="nil"/>
              <w:tr2bl w:val="nil"/>
            </w:tcBorders>
            <w:shd w:val="clear" w:color="auto" w:fill="auto"/>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（十七）不及时报告违法行为</w:t>
            </w:r>
          </w:p>
        </w:tc>
        <w:tc>
          <w:tcPr>
            <w:tcW w:w="1800" w:type="dxa"/>
            <w:tcBorders>
              <w:tl2br w:val="nil"/>
              <w:tr2bl w:val="nil"/>
            </w:tcBorders>
            <w:shd w:val="clear" w:color="auto" w:fill="auto"/>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《北京市物业管理条例》</w:t>
            </w:r>
          </w:p>
        </w:tc>
        <w:tc>
          <w:tcPr>
            <w:tcW w:w="8514" w:type="dxa"/>
            <w:tcBorders>
              <w:tl2br w:val="nil"/>
              <w:tr2bl w:val="nil"/>
            </w:tcBorders>
            <w:shd w:val="clear" w:color="auto" w:fill="auto"/>
            <w:vAlign w:val="center"/>
          </w:tcPr>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第二十四条</w:t>
            </w:r>
            <w:r>
              <w:rPr>
                <w:rFonts w:hint="eastAsia" w:ascii="仿宋_GB2312" w:hAnsi="仿宋" w:eastAsia="仿宋_GB2312" w:cs="仿宋"/>
                <w:color w:val="000000" w:themeColor="text1"/>
                <w:sz w:val="24"/>
              </w:rPr>
              <w:t>　住宅区的物业服务企业或者其他管理人应当做好下列消防安全工作：</w:t>
            </w:r>
          </w:p>
          <w:p>
            <w:pPr>
              <w:snapToGrid w:val="0"/>
              <w:spacing w:line="400" w:lineRule="exact"/>
              <w:ind w:firstLine="480" w:firstLineChars="200"/>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（五）对占用、堵塞、封闭疏散通道、安全出口、消防车通道的行为拒不改正的，及时向公安机关消防机构或者公安派出所报告。</w:t>
            </w:r>
          </w:p>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第八十一条</w:t>
            </w:r>
            <w:r>
              <w:rPr>
                <w:rFonts w:hint="eastAsia" w:ascii="仿宋_GB2312" w:hAnsi="仿宋" w:eastAsia="仿宋_GB2312" w:cs="仿宋"/>
                <w:color w:val="000000" w:themeColor="text1"/>
                <w:sz w:val="24"/>
              </w:rPr>
              <w:t>　住宅区的物业服务企业或者其他管理人有违反《中华人民共和国消防法》和本条例规定的下列行为的，按照下列规定处罚：</w:t>
            </w:r>
          </w:p>
          <w:p>
            <w:pPr>
              <w:snapToGrid w:val="0"/>
              <w:spacing w:line="400" w:lineRule="exact"/>
              <w:ind w:firstLine="480" w:firstLineChars="200"/>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（三）未按照规定向公安机关消防机构或者公安派出所报告的，责令改正，处500元以上1000元以下罚款。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94" w:hRule="atLeast"/>
          <w:jc w:val="center"/>
        </w:trPr>
        <w:tc>
          <w:tcPr>
            <w:tcW w:w="1398" w:type="dxa"/>
            <w:vMerge w:val="continue"/>
            <w:tcBorders>
              <w:tl2br w:val="nil"/>
              <w:tr2bl w:val="nil"/>
            </w:tcBorders>
            <w:shd w:val="clear" w:color="auto" w:fill="auto"/>
            <w:vAlign w:val="center"/>
          </w:tcPr>
          <w:p>
            <w:pPr>
              <w:widowControl/>
              <w:snapToGrid w:val="0"/>
              <w:spacing w:line="400" w:lineRule="exact"/>
              <w:jc w:val="center"/>
              <w:textAlignment w:val="bottom"/>
              <w:rPr>
                <w:rFonts w:ascii="仿宋_GB2312" w:hAnsi="宋体" w:eastAsia="仿宋_GB2312" w:cs="宋体"/>
                <w:color w:val="000000" w:themeColor="text1"/>
                <w:sz w:val="24"/>
              </w:rPr>
            </w:pPr>
          </w:p>
        </w:tc>
        <w:tc>
          <w:tcPr>
            <w:tcW w:w="1824" w:type="dxa"/>
            <w:tcBorders>
              <w:tl2br w:val="nil"/>
              <w:tr2bl w:val="nil"/>
            </w:tcBorders>
            <w:shd w:val="clear" w:color="auto" w:fill="auto"/>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（十八）占用、堵塞、封闭其他共用部位（或者损坏其他共用设施设备）</w:t>
            </w:r>
          </w:p>
        </w:tc>
        <w:tc>
          <w:tcPr>
            <w:tcW w:w="1800" w:type="dxa"/>
            <w:tcBorders>
              <w:tl2br w:val="nil"/>
              <w:tr2bl w:val="nil"/>
            </w:tcBorders>
            <w:shd w:val="clear" w:color="auto" w:fill="auto"/>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《北京市物业管理条例》</w:t>
            </w:r>
          </w:p>
        </w:tc>
        <w:tc>
          <w:tcPr>
            <w:tcW w:w="8514" w:type="dxa"/>
            <w:tcBorders>
              <w:tl2br w:val="nil"/>
              <w:tr2bl w:val="nil"/>
            </w:tcBorders>
            <w:shd w:val="clear" w:color="auto" w:fill="auto"/>
            <w:vAlign w:val="center"/>
          </w:tcPr>
          <w:p>
            <w:pPr>
              <w:snapToGrid w:val="0"/>
              <w:ind w:firstLine="481" w:firstLineChars="200"/>
              <w:rPr>
                <w:rFonts w:ascii="仿宋_GB2312" w:hAnsi="仿宋" w:eastAsia="仿宋_GB2312" w:cs="仿宋"/>
                <w:b/>
                <w:bCs/>
                <w:color w:val="000000" w:themeColor="text1"/>
                <w:sz w:val="24"/>
              </w:rPr>
            </w:pPr>
          </w:p>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第七十八条</w:t>
            </w:r>
            <w:r>
              <w:rPr>
                <w:rFonts w:hint="eastAsia" w:ascii="仿宋_GB2312" w:hAnsi="仿宋" w:eastAsia="仿宋_GB2312" w:cs="仿宋"/>
                <w:color w:val="000000" w:themeColor="text1"/>
                <w:sz w:val="24"/>
              </w:rPr>
              <w:t>　业主、物业使用人、物业服务人等不得实施下列行为：</w:t>
            </w:r>
          </w:p>
          <w:p>
            <w:pPr>
              <w:snapToGrid w:val="0"/>
              <w:spacing w:line="400" w:lineRule="exact"/>
              <w:ind w:firstLine="480" w:firstLineChars="200"/>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（十）擅自通过设置地锁、石墩、栅栏等障碍物和乱堆乱放杂物等方式，占用、堵塞、封闭消防通道、疏散通道等共用部位，或者损坏消防设施等共用设施设备。</w:t>
            </w:r>
          </w:p>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第九十八条</w:t>
            </w:r>
            <w:r>
              <w:rPr>
                <w:rFonts w:hint="eastAsia" w:ascii="仿宋_GB2312" w:hAnsi="仿宋" w:eastAsia="仿宋_GB2312" w:cs="仿宋"/>
                <w:color w:val="000000" w:themeColor="text1"/>
                <w:sz w:val="24"/>
              </w:rPr>
              <w:t>　违反本条例第七十八条第二款第（十）项规定，占用、堵塞、封闭消防通道、疏散通道，或者损坏消防设施的，由消防救援机构责令改正，对单位处五千元以上五万元以下的罚款，对个人处五百元的罚款；占用、堵塞、封闭其他共用部位，或者损坏其他共用设施设备的，由城市管理综合行政执法部门责令改正，给予警告，对单位处二千元以上二万元以下的罚款，对个人处二百元以上五百元以下的罚款。</w:t>
            </w:r>
          </w:p>
          <w:p>
            <w:pPr>
              <w:snapToGrid w:val="0"/>
              <w:ind w:firstLine="420" w:firstLineChars="200"/>
              <w:rPr>
                <w:color w:val="000000" w:themeColor="text1"/>
              </w:rPr>
            </w:pPr>
          </w:p>
        </w:tc>
      </w:tr>
    </w:tbl>
    <w:p>
      <w:pPr>
        <w:snapToGrid w:val="0"/>
        <w:spacing w:line="400" w:lineRule="exact"/>
        <w:rPr>
          <w:rFonts w:ascii="仿宋_GB2312" w:eastAsia="仿宋_GB2312"/>
          <w:color w:val="000000" w:themeColor="text1"/>
          <w:sz w:val="24"/>
        </w:rPr>
      </w:pPr>
    </w:p>
    <w:p>
      <w:pPr>
        <w:widowControl/>
        <w:jc w:val="left"/>
        <w:rPr>
          <w:rFonts w:ascii="仿宋_GB2312" w:eastAsia="仿宋_GB2312"/>
          <w:color w:val="000000" w:themeColor="text1"/>
          <w:sz w:val="24"/>
        </w:rPr>
      </w:pPr>
      <w:r>
        <w:rPr>
          <w:rFonts w:ascii="仿宋_GB2312" w:eastAsia="仿宋_GB2312"/>
          <w:color w:val="000000" w:themeColor="text1"/>
          <w:sz w:val="24"/>
        </w:rPr>
        <w:br w:type="page"/>
      </w:r>
    </w:p>
    <w:p>
      <w:pPr>
        <w:snapToGrid w:val="0"/>
        <w:spacing w:line="400" w:lineRule="exact"/>
        <w:rPr>
          <w:rFonts w:ascii="仿宋_GB2312" w:eastAsia="仿宋_GB2312"/>
          <w:color w:val="000000" w:themeColor="text1"/>
          <w:sz w:val="24"/>
        </w:rPr>
      </w:pPr>
    </w:p>
    <w:tbl>
      <w:tblPr>
        <w:tblStyle w:val="26"/>
        <w:tblW w:w="1353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98"/>
        <w:gridCol w:w="1824"/>
        <w:gridCol w:w="1800"/>
        <w:gridCol w:w="85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3" w:hRule="atLeast"/>
          <w:tblHeader/>
          <w:jc w:val="center"/>
        </w:trPr>
        <w:tc>
          <w:tcPr>
            <w:tcW w:w="13536" w:type="dxa"/>
            <w:gridSpan w:val="4"/>
            <w:tcBorders>
              <w:tl2br w:val="nil"/>
              <w:tr2bl w:val="nil"/>
            </w:tcBorders>
            <w:vAlign w:val="center"/>
          </w:tcPr>
          <w:p>
            <w:pPr>
              <w:pStyle w:val="5"/>
              <w:jc w:val="center"/>
              <w:rPr>
                <w:color w:val="000000" w:themeColor="text1"/>
              </w:rPr>
            </w:pPr>
            <w:bookmarkStart w:id="179" w:name="_Toc150435301"/>
            <w:r>
              <w:rPr>
                <w:rFonts w:hint="eastAsia"/>
                <w:color w:val="000000" w:themeColor="text1"/>
              </w:rPr>
              <w:t>停车管理方面</w:t>
            </w:r>
            <w:bookmarkEnd w:id="179"/>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6" w:hRule="atLeast"/>
          <w:tblHeader/>
          <w:jc w:val="center"/>
        </w:trPr>
        <w:tc>
          <w:tcPr>
            <w:tcW w:w="1398" w:type="dxa"/>
            <w:tcBorders>
              <w:tl2br w:val="nil"/>
              <w:tr2bl w:val="nil"/>
            </w:tcBorders>
            <w:vAlign w:val="center"/>
          </w:tcPr>
          <w:p>
            <w:pPr>
              <w:pStyle w:val="47"/>
              <w:snapToGrid w:val="0"/>
              <w:spacing w:after="0" w:line="400" w:lineRule="exact"/>
              <w:ind w:left="0" w:leftChars="0" w:firstLine="0" w:firstLineChars="0"/>
              <w:jc w:val="center"/>
              <w:rPr>
                <w:rFonts w:ascii="黑体" w:hAnsi="黑体" w:eastAsia="黑体" w:cs="黑体"/>
                <w:color w:val="000000" w:themeColor="text1"/>
                <w:sz w:val="24"/>
              </w:rPr>
            </w:pPr>
            <w:r>
              <w:rPr>
                <w:rFonts w:hint="eastAsia" w:ascii="黑体" w:hAnsi="黑体" w:eastAsia="黑体" w:cs="黑体"/>
                <w:color w:val="000000" w:themeColor="text1"/>
                <w:sz w:val="24"/>
              </w:rPr>
              <w:t>监管内容</w:t>
            </w:r>
          </w:p>
        </w:tc>
        <w:tc>
          <w:tcPr>
            <w:tcW w:w="1824" w:type="dxa"/>
            <w:tcBorders>
              <w:tl2br w:val="nil"/>
              <w:tr2bl w:val="nil"/>
            </w:tcBorders>
            <w:vAlign w:val="center"/>
          </w:tcPr>
          <w:p>
            <w:pPr>
              <w:pStyle w:val="47"/>
              <w:snapToGrid w:val="0"/>
              <w:spacing w:after="0" w:line="400" w:lineRule="exact"/>
              <w:ind w:left="0" w:leftChars="0" w:firstLine="0" w:firstLineChars="0"/>
              <w:jc w:val="center"/>
              <w:rPr>
                <w:rFonts w:ascii="黑体" w:hAnsi="黑体" w:eastAsia="黑体" w:cs="黑体"/>
                <w:color w:val="000000" w:themeColor="text1"/>
                <w:sz w:val="24"/>
              </w:rPr>
            </w:pPr>
            <w:r>
              <w:rPr>
                <w:rFonts w:hint="eastAsia" w:ascii="黑体" w:hAnsi="黑体" w:eastAsia="黑体" w:cs="黑体"/>
                <w:color w:val="000000" w:themeColor="text1"/>
                <w:sz w:val="24"/>
              </w:rPr>
              <w:t>监管事项</w:t>
            </w:r>
          </w:p>
        </w:tc>
        <w:tc>
          <w:tcPr>
            <w:tcW w:w="1800" w:type="dxa"/>
            <w:tcBorders>
              <w:tl2br w:val="nil"/>
              <w:tr2bl w:val="nil"/>
            </w:tcBorders>
            <w:vAlign w:val="center"/>
          </w:tcPr>
          <w:p>
            <w:pPr>
              <w:pStyle w:val="47"/>
              <w:snapToGrid w:val="0"/>
              <w:spacing w:after="0" w:line="400" w:lineRule="exact"/>
              <w:ind w:left="0" w:leftChars="0" w:firstLine="0" w:firstLineChars="0"/>
              <w:jc w:val="center"/>
              <w:rPr>
                <w:rFonts w:ascii="黑体" w:hAnsi="黑体" w:eastAsia="黑体" w:cs="黑体"/>
                <w:color w:val="000000" w:themeColor="text1"/>
                <w:sz w:val="24"/>
              </w:rPr>
            </w:pPr>
            <w:r>
              <w:rPr>
                <w:rFonts w:hint="eastAsia" w:ascii="黑体" w:hAnsi="黑体" w:eastAsia="黑体" w:cs="黑体"/>
                <w:color w:val="000000" w:themeColor="text1"/>
                <w:sz w:val="24"/>
              </w:rPr>
              <w:t>监管依据</w:t>
            </w:r>
          </w:p>
        </w:tc>
        <w:tc>
          <w:tcPr>
            <w:tcW w:w="8514" w:type="dxa"/>
            <w:tcBorders>
              <w:tl2br w:val="nil"/>
              <w:tr2bl w:val="nil"/>
            </w:tcBorders>
            <w:vAlign w:val="center"/>
          </w:tcPr>
          <w:p>
            <w:pPr>
              <w:pStyle w:val="47"/>
              <w:snapToGrid w:val="0"/>
              <w:spacing w:after="0" w:line="400" w:lineRule="exact"/>
              <w:ind w:left="0" w:leftChars="0" w:firstLine="0" w:firstLineChars="0"/>
              <w:jc w:val="center"/>
              <w:rPr>
                <w:rFonts w:ascii="黑体" w:hAnsi="黑体" w:eastAsia="黑体" w:cs="黑体"/>
                <w:color w:val="000000" w:themeColor="text1"/>
                <w:kern w:val="0"/>
                <w:sz w:val="24"/>
              </w:rPr>
            </w:pPr>
            <w:r>
              <w:rPr>
                <w:rFonts w:hint="eastAsia" w:ascii="黑体" w:hAnsi="黑体" w:eastAsia="黑体" w:cs="黑体"/>
                <w:color w:val="000000" w:themeColor="text1"/>
                <w:sz w:val="24"/>
              </w:rPr>
              <w:t>监管规则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54" w:hRule="atLeast"/>
          <w:jc w:val="center"/>
        </w:trPr>
        <w:tc>
          <w:tcPr>
            <w:tcW w:w="1398" w:type="dxa"/>
            <w:vMerge w:val="restart"/>
            <w:tcBorders>
              <w:tl2br w:val="nil"/>
              <w:tr2bl w:val="nil"/>
            </w:tcBorders>
            <w:shd w:val="clear" w:color="auto" w:fill="auto"/>
            <w:vAlign w:val="center"/>
          </w:tcPr>
          <w:p>
            <w:pPr>
              <w:widowControl/>
              <w:snapToGrid w:val="0"/>
              <w:spacing w:line="400" w:lineRule="exact"/>
              <w:jc w:val="center"/>
              <w:textAlignment w:val="bottom"/>
              <w:rPr>
                <w:rFonts w:ascii="仿宋_GB2312" w:hAnsi="宋体" w:eastAsia="仿宋_GB2312" w:cs="宋体"/>
                <w:color w:val="000000" w:themeColor="text1"/>
                <w:sz w:val="24"/>
              </w:rPr>
            </w:pPr>
            <w:r>
              <w:rPr>
                <w:rFonts w:hint="eastAsia" w:ascii="仿宋_GB2312" w:hAnsi="宋体" w:eastAsia="仿宋_GB2312" w:cs="宋体"/>
                <w:color w:val="000000" w:themeColor="text1"/>
                <w:sz w:val="24"/>
              </w:rPr>
              <w:t>一、机动车管理</w:t>
            </w:r>
          </w:p>
        </w:tc>
        <w:tc>
          <w:tcPr>
            <w:tcW w:w="1824" w:type="dxa"/>
            <w:tcBorders>
              <w:tl2br w:val="nil"/>
              <w:tr2bl w:val="nil"/>
            </w:tcBorders>
            <w:shd w:val="clear" w:color="auto" w:fill="auto"/>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（一）停车设施设置</w:t>
            </w:r>
          </w:p>
        </w:tc>
        <w:tc>
          <w:tcPr>
            <w:tcW w:w="1800" w:type="dxa"/>
            <w:tcBorders>
              <w:tl2br w:val="nil"/>
              <w:tr2bl w:val="nil"/>
            </w:tcBorders>
            <w:shd w:val="clear" w:color="auto" w:fill="auto"/>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《北京市机动车停车条例》</w:t>
            </w:r>
          </w:p>
        </w:tc>
        <w:tc>
          <w:tcPr>
            <w:tcW w:w="8514" w:type="dxa"/>
            <w:tcBorders>
              <w:tl2br w:val="nil"/>
              <w:tr2bl w:val="nil"/>
            </w:tcBorders>
            <w:shd w:val="clear" w:color="auto" w:fill="auto"/>
            <w:vAlign w:val="center"/>
          </w:tcPr>
          <w:p>
            <w:pPr>
              <w:snapToGrid w:val="0"/>
              <w:spacing w:line="400" w:lineRule="exact"/>
              <w:ind w:firstLine="481" w:firstLineChars="200"/>
              <w:rPr>
                <w:rFonts w:ascii="仿宋_GB2312" w:hAnsi="仿宋" w:eastAsia="仿宋_GB2312" w:cs="仿宋"/>
                <w:b/>
                <w:bCs/>
                <w:color w:val="000000" w:themeColor="text1"/>
                <w:kern w:val="0"/>
                <w:sz w:val="24"/>
              </w:rPr>
            </w:pPr>
            <w:r>
              <w:rPr>
                <w:rFonts w:hint="eastAsia" w:ascii="仿宋_GB2312" w:hAnsi="仿宋" w:eastAsia="仿宋_GB2312" w:cs="仿宋"/>
                <w:b/>
                <w:bCs/>
                <w:color w:val="000000" w:themeColor="text1"/>
                <w:sz w:val="24"/>
              </w:rPr>
              <w:t>第二十条</w:t>
            </w:r>
            <w:r>
              <w:rPr>
                <w:rFonts w:hint="eastAsia" w:ascii="仿宋_GB2312" w:hAnsi="仿宋" w:eastAsia="仿宋_GB2312" w:cs="仿宋"/>
                <w:color w:val="000000" w:themeColor="text1"/>
                <w:sz w:val="24"/>
              </w:rPr>
              <w:t>　设置停车设施，应当符合国家和本市停车设施设置标准和设计规范，并按照标准设置无障碍停车泊位和电动汽车充电设施。</w:t>
            </w:r>
          </w:p>
          <w:p>
            <w:pPr>
              <w:snapToGrid w:val="0"/>
              <w:spacing w:line="400" w:lineRule="exact"/>
              <w:ind w:firstLine="481" w:firstLineChars="200"/>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第二十二条</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停车设施设置后10日内，设置单位应当将停车泊位情况报送区停车管理部门。</w:t>
            </w:r>
          </w:p>
          <w:p>
            <w:pPr>
              <w:snapToGrid w:val="0"/>
              <w:spacing w:line="400" w:lineRule="exact"/>
              <w:ind w:firstLine="480" w:firstLineChars="200"/>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违反前款规定，未按照规定的时限或者未如实报送停车设施设置情况的，由城市管理综合执法部门责令限期改正；逾期未改正的，处2000元罚款。</w:t>
            </w:r>
          </w:p>
          <w:p>
            <w:pPr>
              <w:snapToGrid w:val="0"/>
              <w:spacing w:line="400" w:lineRule="exact"/>
              <w:ind w:firstLine="480" w:firstLineChars="200"/>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居住小区停车自治设置的停车泊位情况，应当由乡镇人民政府、街道办事处统计后报送区停车管理部门。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65" w:hRule="atLeast"/>
          <w:jc w:val="center"/>
        </w:trPr>
        <w:tc>
          <w:tcPr>
            <w:tcW w:w="1398" w:type="dxa"/>
            <w:vMerge w:val="continue"/>
            <w:tcBorders>
              <w:tl2br w:val="nil"/>
              <w:tr2bl w:val="nil"/>
            </w:tcBorders>
            <w:shd w:val="clear" w:color="auto" w:fill="auto"/>
            <w:vAlign w:val="center"/>
          </w:tcPr>
          <w:p>
            <w:pPr>
              <w:widowControl/>
              <w:snapToGrid w:val="0"/>
              <w:spacing w:line="400" w:lineRule="exact"/>
              <w:jc w:val="center"/>
              <w:textAlignment w:val="bottom"/>
              <w:rPr>
                <w:rFonts w:ascii="仿宋_GB2312" w:hAnsi="宋体" w:eastAsia="仿宋_GB2312" w:cs="宋体"/>
                <w:color w:val="000000" w:themeColor="text1"/>
                <w:sz w:val="24"/>
              </w:rPr>
            </w:pPr>
          </w:p>
        </w:tc>
        <w:tc>
          <w:tcPr>
            <w:tcW w:w="1824" w:type="dxa"/>
            <w:vMerge w:val="restart"/>
            <w:tcBorders>
              <w:tl2br w:val="nil"/>
              <w:tr2bl w:val="nil"/>
            </w:tcBorders>
            <w:shd w:val="clear" w:color="auto" w:fill="auto"/>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（二）停车设施改作他用</w:t>
            </w:r>
          </w:p>
        </w:tc>
        <w:tc>
          <w:tcPr>
            <w:tcW w:w="1800" w:type="dxa"/>
            <w:vMerge w:val="restart"/>
            <w:tcBorders>
              <w:tl2br w:val="nil"/>
              <w:tr2bl w:val="nil"/>
            </w:tcBorders>
            <w:shd w:val="clear" w:color="auto" w:fill="auto"/>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《北京市机动车停车条例》</w:t>
            </w:r>
          </w:p>
        </w:tc>
        <w:tc>
          <w:tcPr>
            <w:tcW w:w="8514" w:type="dxa"/>
            <w:tcBorders>
              <w:tl2br w:val="nil"/>
              <w:tr2bl w:val="nil"/>
            </w:tcBorders>
            <w:shd w:val="clear" w:color="auto" w:fill="auto"/>
            <w:vAlign w:val="center"/>
          </w:tcPr>
          <w:p>
            <w:pPr>
              <w:snapToGrid w:val="0"/>
              <w:spacing w:line="400" w:lineRule="exact"/>
              <w:ind w:firstLine="481" w:firstLineChars="200"/>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第三十三条</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单位和个人不得违反规划将停车设施改作他用。</w:t>
            </w:r>
          </w:p>
          <w:p>
            <w:pPr>
              <w:snapToGrid w:val="0"/>
              <w:spacing w:line="400" w:lineRule="exact"/>
              <w:ind w:firstLine="480" w:firstLineChars="200"/>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向社会开放的公共停车设施确需停止经营的，停车设施经营单位应当将处理方案提前报告区停车管理部门；决定停止经营的，停车设施经营单位应当提前30日向社会公告。临时停车设施停止使用的，停车设施经营单位应当在停止使用前30日向社会公告，并到有关部门办理相关手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73" w:hRule="atLeast"/>
          <w:jc w:val="center"/>
        </w:trPr>
        <w:tc>
          <w:tcPr>
            <w:tcW w:w="1398" w:type="dxa"/>
            <w:vMerge w:val="continue"/>
            <w:tcBorders>
              <w:tl2br w:val="nil"/>
              <w:tr2bl w:val="nil"/>
            </w:tcBorders>
            <w:shd w:val="clear" w:color="auto" w:fill="auto"/>
            <w:vAlign w:val="center"/>
          </w:tcPr>
          <w:p>
            <w:pPr>
              <w:widowControl/>
              <w:snapToGrid w:val="0"/>
              <w:spacing w:line="400" w:lineRule="exact"/>
              <w:jc w:val="center"/>
              <w:textAlignment w:val="bottom"/>
              <w:rPr>
                <w:rFonts w:ascii="仿宋_GB2312" w:hAnsi="宋体" w:eastAsia="仿宋_GB2312" w:cs="宋体"/>
                <w:color w:val="000000" w:themeColor="text1"/>
                <w:sz w:val="24"/>
              </w:rPr>
            </w:pPr>
          </w:p>
        </w:tc>
        <w:tc>
          <w:tcPr>
            <w:tcW w:w="1824" w:type="dxa"/>
            <w:vMerge w:val="continue"/>
            <w:tcBorders>
              <w:tl2br w:val="nil"/>
              <w:tr2bl w:val="nil"/>
            </w:tcBorders>
            <w:shd w:val="clear" w:color="auto" w:fill="auto"/>
            <w:vAlign w:val="center"/>
          </w:tcPr>
          <w:p>
            <w:pPr>
              <w:widowControl/>
              <w:snapToGrid w:val="0"/>
              <w:spacing w:line="400" w:lineRule="exact"/>
              <w:textAlignment w:val="center"/>
              <w:rPr>
                <w:rFonts w:ascii="仿宋_GB2312" w:hAnsi="宋体" w:eastAsia="仿宋_GB2312" w:cs="宋体"/>
                <w:color w:val="000000" w:themeColor="text1"/>
                <w:kern w:val="0"/>
                <w:sz w:val="24"/>
              </w:rPr>
            </w:pPr>
          </w:p>
        </w:tc>
        <w:tc>
          <w:tcPr>
            <w:tcW w:w="1800" w:type="dxa"/>
            <w:vMerge w:val="continue"/>
            <w:tcBorders>
              <w:tl2br w:val="nil"/>
              <w:tr2bl w:val="nil"/>
            </w:tcBorders>
            <w:shd w:val="clear" w:color="auto" w:fill="auto"/>
            <w:vAlign w:val="center"/>
          </w:tcPr>
          <w:p>
            <w:pPr>
              <w:widowControl/>
              <w:snapToGrid w:val="0"/>
              <w:spacing w:line="400" w:lineRule="exact"/>
              <w:jc w:val="left"/>
              <w:textAlignment w:val="center"/>
              <w:rPr>
                <w:rFonts w:ascii="仿宋_GB2312" w:hAnsi="仿宋" w:eastAsia="仿宋_GB2312" w:cs="仿宋"/>
                <w:color w:val="000000" w:themeColor="text1"/>
                <w:sz w:val="24"/>
              </w:rPr>
            </w:pPr>
          </w:p>
        </w:tc>
        <w:tc>
          <w:tcPr>
            <w:tcW w:w="8514" w:type="dxa"/>
            <w:tcBorders>
              <w:tl2br w:val="nil"/>
              <w:tr2bl w:val="nil"/>
            </w:tcBorders>
            <w:shd w:val="clear" w:color="auto" w:fill="auto"/>
            <w:vAlign w:val="center"/>
          </w:tcPr>
          <w:p>
            <w:pPr>
              <w:snapToGrid w:val="0"/>
              <w:spacing w:line="400" w:lineRule="exact"/>
              <w:ind w:firstLine="480" w:firstLineChars="200"/>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确需改变停车设施用途的，应当依法报原审批部门办理规划变更手续，但为实现原规划用途，将临时停车设施停止使用的情况除外。</w:t>
            </w:r>
          </w:p>
          <w:p>
            <w:pPr>
              <w:snapToGrid w:val="0"/>
              <w:spacing w:line="400" w:lineRule="exact"/>
              <w:ind w:firstLine="480" w:firstLineChars="200"/>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违反第一款规定，改变停车设施用途的，由城市管理综合执法部门责令限期改正、恢复原状，并处每个泊位1万元罚款。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 w:hRule="atLeast"/>
          <w:jc w:val="center"/>
        </w:trPr>
        <w:tc>
          <w:tcPr>
            <w:tcW w:w="1398" w:type="dxa"/>
            <w:vMerge w:val="continue"/>
            <w:tcBorders>
              <w:tl2br w:val="nil"/>
              <w:tr2bl w:val="nil"/>
            </w:tcBorders>
            <w:shd w:val="clear" w:color="auto" w:fill="auto"/>
            <w:vAlign w:val="center"/>
          </w:tcPr>
          <w:p>
            <w:pPr>
              <w:widowControl/>
              <w:snapToGrid w:val="0"/>
              <w:spacing w:line="400" w:lineRule="exact"/>
              <w:jc w:val="center"/>
              <w:textAlignment w:val="bottom"/>
              <w:rPr>
                <w:rFonts w:ascii="仿宋_GB2312" w:hAnsi="宋体" w:eastAsia="仿宋_GB2312" w:cs="宋体"/>
                <w:color w:val="000000" w:themeColor="text1"/>
                <w:sz w:val="24"/>
              </w:rPr>
            </w:pPr>
          </w:p>
        </w:tc>
        <w:tc>
          <w:tcPr>
            <w:tcW w:w="1824" w:type="dxa"/>
            <w:vMerge w:val="restart"/>
            <w:tcBorders>
              <w:tl2br w:val="nil"/>
              <w:tr2bl w:val="nil"/>
            </w:tcBorders>
            <w:shd w:val="clear" w:color="auto" w:fill="auto"/>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（三）停车管理</w:t>
            </w:r>
          </w:p>
        </w:tc>
        <w:tc>
          <w:tcPr>
            <w:tcW w:w="1800" w:type="dxa"/>
            <w:vMerge w:val="restart"/>
            <w:tcBorders>
              <w:tl2br w:val="nil"/>
              <w:tr2bl w:val="nil"/>
            </w:tcBorders>
            <w:shd w:val="clear" w:color="auto" w:fill="auto"/>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《北京市机动车停车条例》</w:t>
            </w:r>
          </w:p>
        </w:tc>
        <w:tc>
          <w:tcPr>
            <w:tcW w:w="8514" w:type="dxa"/>
            <w:tcBorders>
              <w:tl2br w:val="nil"/>
              <w:tr2bl w:val="nil"/>
            </w:tcBorders>
            <w:shd w:val="clear" w:color="auto" w:fill="auto"/>
            <w:vAlign w:val="center"/>
          </w:tcPr>
          <w:p>
            <w:pPr>
              <w:snapToGrid w:val="0"/>
              <w:spacing w:line="400" w:lineRule="exact"/>
              <w:ind w:firstLine="481" w:firstLineChars="200"/>
              <w:rPr>
                <w:rFonts w:ascii="仿宋_GB2312" w:hAnsi="仿宋" w:eastAsia="仿宋_GB2312" w:cs="仿宋"/>
                <w:b/>
                <w:bCs/>
                <w:color w:val="000000" w:themeColor="text1"/>
                <w:kern w:val="0"/>
                <w:sz w:val="24"/>
              </w:rPr>
            </w:pPr>
            <w:r>
              <w:rPr>
                <w:rFonts w:hint="eastAsia" w:ascii="仿宋_GB2312" w:hAnsi="仿宋" w:eastAsia="仿宋_GB2312" w:cs="仿宋"/>
                <w:b/>
                <w:bCs/>
                <w:color w:val="000000" w:themeColor="text1"/>
                <w:sz w:val="24"/>
              </w:rPr>
              <w:t>第二十五条</w:t>
            </w:r>
            <w:r>
              <w:rPr>
                <w:rFonts w:hint="eastAsia" w:ascii="仿宋_GB2312" w:hAnsi="仿宋" w:eastAsia="仿宋_GB2312" w:cs="仿宋"/>
                <w:color w:val="000000" w:themeColor="text1"/>
                <w:sz w:val="24"/>
              </w:rPr>
              <w:t>　国家机关、社会团体、企事业组织、个体工商户等单位，应当做好门前停车管理责任区内的停车秩序维护工作，有权对违法停车行为予以劝阻、制止或者举报。</w:t>
            </w:r>
          </w:p>
          <w:p>
            <w:pPr>
              <w:snapToGrid w:val="0"/>
              <w:spacing w:line="400" w:lineRule="exact"/>
              <w:ind w:firstLine="481" w:firstLineChars="200"/>
              <w:rPr>
                <w:rFonts w:ascii="仿宋_GB2312" w:hAnsi="仿宋" w:eastAsia="仿宋_GB2312" w:cs="仿宋"/>
                <w:color w:val="000000" w:themeColor="text1"/>
                <w:kern w:val="0"/>
                <w:sz w:val="24"/>
              </w:rPr>
            </w:pPr>
            <w:r>
              <w:rPr>
                <w:rFonts w:hint="eastAsia" w:ascii="仿宋_GB2312" w:hAnsi="仿宋" w:eastAsia="仿宋_GB2312" w:cs="仿宋"/>
                <w:b/>
                <w:bCs/>
                <w:color w:val="000000" w:themeColor="text1"/>
                <w:kern w:val="0"/>
                <w:sz w:val="24"/>
              </w:rPr>
              <w:t>第三十二条</w:t>
            </w:r>
            <w:r>
              <w:rPr>
                <w:rFonts w:hint="eastAsia" w:ascii="仿宋_GB2312" w:hAnsi="仿宋" w:eastAsia="仿宋_GB2312" w:cs="仿宋"/>
                <w:color w:val="000000" w:themeColor="text1"/>
                <w:sz w:val="24"/>
              </w:rPr>
              <w:t>　</w:t>
            </w:r>
            <w:r>
              <w:rPr>
                <w:rFonts w:hint="eastAsia" w:ascii="仿宋_GB2312" w:hAnsi="仿宋" w:eastAsia="仿宋_GB2312" w:cs="仿宋"/>
                <w:color w:val="000000" w:themeColor="text1"/>
                <w:kern w:val="0"/>
                <w:sz w:val="24"/>
              </w:rPr>
              <w:t>停车设施经营单位应当遵守下列规定：</w:t>
            </w:r>
          </w:p>
          <w:p>
            <w:pPr>
              <w:snapToGrid w:val="0"/>
              <w:spacing w:line="400" w:lineRule="exact"/>
              <w:ind w:firstLine="480" w:firstLineChars="200"/>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（一）在显著位置明示停车设施名称、范围、编号、服务项目、收费标准、车位数量及监督电话；</w:t>
            </w:r>
          </w:p>
          <w:p>
            <w:pPr>
              <w:snapToGrid w:val="0"/>
              <w:spacing w:line="400" w:lineRule="exact"/>
              <w:ind w:firstLine="480" w:firstLineChars="200"/>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（二）按照明示的标准收费，并出具专用票据；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40" w:hRule="atLeast"/>
          <w:jc w:val="center"/>
        </w:trPr>
        <w:tc>
          <w:tcPr>
            <w:tcW w:w="1398" w:type="dxa"/>
            <w:vMerge w:val="continue"/>
            <w:tcBorders>
              <w:tl2br w:val="nil"/>
              <w:tr2bl w:val="nil"/>
            </w:tcBorders>
            <w:shd w:val="clear" w:color="auto" w:fill="auto"/>
            <w:vAlign w:val="center"/>
          </w:tcPr>
          <w:p>
            <w:pPr>
              <w:widowControl/>
              <w:snapToGrid w:val="0"/>
              <w:spacing w:line="400" w:lineRule="exact"/>
              <w:jc w:val="center"/>
              <w:textAlignment w:val="bottom"/>
              <w:rPr>
                <w:rFonts w:ascii="仿宋_GB2312" w:hAnsi="宋体" w:eastAsia="仿宋_GB2312" w:cs="宋体"/>
                <w:color w:val="000000" w:themeColor="text1"/>
                <w:sz w:val="24"/>
              </w:rPr>
            </w:pPr>
          </w:p>
        </w:tc>
        <w:tc>
          <w:tcPr>
            <w:tcW w:w="1824" w:type="dxa"/>
            <w:vMerge w:val="continue"/>
            <w:tcBorders>
              <w:tl2br w:val="nil"/>
              <w:tr2bl w:val="nil"/>
            </w:tcBorders>
            <w:shd w:val="clear" w:color="auto" w:fill="auto"/>
            <w:vAlign w:val="center"/>
          </w:tcPr>
          <w:p>
            <w:pPr>
              <w:widowControl/>
              <w:snapToGrid w:val="0"/>
              <w:spacing w:line="400" w:lineRule="exact"/>
              <w:textAlignment w:val="center"/>
              <w:rPr>
                <w:rFonts w:ascii="仿宋_GB2312" w:hAnsi="宋体" w:eastAsia="仿宋_GB2312" w:cs="宋体"/>
                <w:color w:val="000000" w:themeColor="text1"/>
                <w:kern w:val="0"/>
                <w:sz w:val="24"/>
              </w:rPr>
            </w:pPr>
          </w:p>
        </w:tc>
        <w:tc>
          <w:tcPr>
            <w:tcW w:w="1800" w:type="dxa"/>
            <w:vMerge w:val="continue"/>
            <w:tcBorders>
              <w:tl2br w:val="nil"/>
              <w:tr2bl w:val="nil"/>
            </w:tcBorders>
            <w:shd w:val="clear" w:color="auto" w:fill="auto"/>
            <w:vAlign w:val="center"/>
          </w:tcPr>
          <w:p>
            <w:pPr>
              <w:widowControl/>
              <w:snapToGrid w:val="0"/>
              <w:spacing w:line="400" w:lineRule="exact"/>
              <w:jc w:val="left"/>
              <w:textAlignment w:val="center"/>
              <w:rPr>
                <w:rFonts w:ascii="仿宋_GB2312" w:hAnsi="仿宋" w:eastAsia="仿宋_GB2312" w:cs="仿宋"/>
                <w:color w:val="000000" w:themeColor="text1"/>
                <w:sz w:val="24"/>
              </w:rPr>
            </w:pPr>
          </w:p>
        </w:tc>
        <w:tc>
          <w:tcPr>
            <w:tcW w:w="8514" w:type="dxa"/>
            <w:tcBorders>
              <w:tl2br w:val="nil"/>
              <w:tr2bl w:val="nil"/>
            </w:tcBorders>
            <w:shd w:val="clear" w:color="auto" w:fill="auto"/>
          </w:tcPr>
          <w:p>
            <w:pPr>
              <w:snapToGrid w:val="0"/>
              <w:spacing w:line="400" w:lineRule="exact"/>
              <w:ind w:firstLine="480" w:firstLineChars="200"/>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（三）实行计时收费的停车设施，满一个计时单位后方可收取停车费，不足一个计时单位的不收取费用。</w:t>
            </w:r>
          </w:p>
          <w:p>
            <w:pPr>
              <w:snapToGrid w:val="0"/>
              <w:spacing w:line="400" w:lineRule="exact"/>
              <w:ind w:firstLine="480" w:firstLineChars="200"/>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中心城区范围内的经营性停车设施，应当24小时开放。违反规定的，由城市管理综合执法部门责令限期改正，并处5000元以上1万元以下罚款。</w:t>
            </w:r>
          </w:p>
          <w:p>
            <w:pPr>
              <w:snapToGrid w:val="0"/>
              <w:spacing w:line="400" w:lineRule="exact"/>
              <w:ind w:firstLine="480" w:firstLineChars="200"/>
              <w:rPr>
                <w:rFonts w:ascii="仿宋_GB2312" w:hAnsi="仿宋" w:eastAsia="仿宋_GB2312" w:cs="仿宋"/>
                <w:color w:val="000000" w:themeColor="text1"/>
                <w:kern w:val="0"/>
                <w:sz w:val="24"/>
              </w:rPr>
            </w:pPr>
            <w:r>
              <w:rPr>
                <w:rFonts w:hint="eastAsia" w:ascii="仿宋_GB2312" w:hAnsi="仿宋" w:eastAsia="仿宋_GB2312" w:cs="仿宋"/>
                <w:color w:val="000000" w:themeColor="text1"/>
                <w:kern w:val="0"/>
                <w:sz w:val="24"/>
              </w:rPr>
              <w:t>违反第一款规定的，依照价格、税务相关法律法规进行处罚。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0" w:hRule="atLeast"/>
          <w:jc w:val="center"/>
        </w:trPr>
        <w:tc>
          <w:tcPr>
            <w:tcW w:w="1398" w:type="dxa"/>
            <w:vMerge w:val="continue"/>
            <w:tcBorders>
              <w:tl2br w:val="nil"/>
              <w:tr2bl w:val="nil"/>
            </w:tcBorders>
            <w:shd w:val="clear" w:color="auto" w:fill="auto"/>
            <w:vAlign w:val="center"/>
          </w:tcPr>
          <w:p>
            <w:pPr>
              <w:widowControl/>
              <w:snapToGrid w:val="0"/>
              <w:spacing w:line="400" w:lineRule="exact"/>
              <w:jc w:val="center"/>
              <w:textAlignment w:val="bottom"/>
              <w:rPr>
                <w:rFonts w:ascii="仿宋_GB2312" w:hAnsi="宋体" w:eastAsia="仿宋_GB2312" w:cs="宋体"/>
                <w:color w:val="000000" w:themeColor="text1"/>
                <w:sz w:val="24"/>
              </w:rPr>
            </w:pPr>
          </w:p>
        </w:tc>
        <w:tc>
          <w:tcPr>
            <w:tcW w:w="1824" w:type="dxa"/>
            <w:tcBorders>
              <w:tl2br w:val="nil"/>
              <w:tr2bl w:val="nil"/>
            </w:tcBorders>
            <w:shd w:val="clear" w:color="auto" w:fill="auto"/>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（四）停车障碍物</w:t>
            </w:r>
          </w:p>
        </w:tc>
        <w:tc>
          <w:tcPr>
            <w:tcW w:w="1800" w:type="dxa"/>
            <w:tcBorders>
              <w:tl2br w:val="nil"/>
              <w:tr2bl w:val="nil"/>
            </w:tcBorders>
            <w:shd w:val="clear" w:color="auto" w:fill="auto"/>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《北京市机动车停车条例》</w:t>
            </w:r>
          </w:p>
        </w:tc>
        <w:tc>
          <w:tcPr>
            <w:tcW w:w="8514" w:type="dxa"/>
            <w:tcBorders>
              <w:tl2br w:val="nil"/>
              <w:tr2bl w:val="nil"/>
            </w:tcBorders>
            <w:shd w:val="clear" w:color="auto" w:fill="auto"/>
            <w:vAlign w:val="center"/>
          </w:tcPr>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第二十六条</w:t>
            </w:r>
            <w:r>
              <w:rPr>
                <w:rFonts w:hint="eastAsia" w:ascii="仿宋_GB2312" w:hAnsi="仿宋" w:eastAsia="仿宋_GB2312" w:cs="仿宋"/>
                <w:color w:val="000000" w:themeColor="text1"/>
                <w:sz w:val="24"/>
              </w:rPr>
              <w:t>　任何单位和个人不得擅自在道路上和其他公共区域内设置固定或者可移动障碍物阻碍机动车停放和通行；不得在未取得所有权和专属使用权的停车泊位上设置地桩、地锁。物业服务企业应当在物业管理协议和车位租赁协议中予以明示并统一管理。</w:t>
            </w:r>
          </w:p>
          <w:p>
            <w:pPr>
              <w:snapToGrid w:val="0"/>
              <w:spacing w:line="400" w:lineRule="exact"/>
              <w:ind w:firstLine="480" w:firstLineChars="200"/>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违反前款规定，擅自设置固定或者可移动障碍物的，道路范围内由公安机关交通管理部门责令停止违法行为，迅速恢复交通；实行物业管理的居住小区公共区域内，由住房城乡建设部门依据物业管理的相关规定进行处罚；其他公共场所内，由城市管理综合执法部门责令停止违法行为，恢复原状，并处500元以上1000元以下罚款。</w:t>
            </w:r>
          </w:p>
          <w:p>
            <w:pPr>
              <w:snapToGrid w:val="0"/>
              <w:spacing w:line="400" w:lineRule="exact"/>
              <w:ind w:firstLine="480" w:firstLineChars="200"/>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非电动汽车不得占用电动汽车专用泊位。违反规定的，由公安机关交通管理部门责令改正，依法给予处罚。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9" w:hRule="atLeast"/>
          <w:jc w:val="center"/>
        </w:trPr>
        <w:tc>
          <w:tcPr>
            <w:tcW w:w="1398" w:type="dxa"/>
            <w:vMerge w:val="continue"/>
            <w:tcBorders>
              <w:tl2br w:val="nil"/>
              <w:tr2bl w:val="nil"/>
            </w:tcBorders>
            <w:shd w:val="clear" w:color="auto" w:fill="auto"/>
            <w:vAlign w:val="center"/>
          </w:tcPr>
          <w:p>
            <w:pPr>
              <w:widowControl/>
              <w:snapToGrid w:val="0"/>
              <w:spacing w:line="400" w:lineRule="exact"/>
              <w:jc w:val="center"/>
              <w:textAlignment w:val="bottom"/>
              <w:rPr>
                <w:rFonts w:ascii="仿宋_GB2312" w:hAnsi="宋体" w:eastAsia="仿宋_GB2312" w:cs="宋体"/>
                <w:color w:val="000000" w:themeColor="text1"/>
                <w:sz w:val="24"/>
              </w:rPr>
            </w:pPr>
          </w:p>
        </w:tc>
        <w:tc>
          <w:tcPr>
            <w:tcW w:w="1824" w:type="dxa"/>
            <w:tcBorders>
              <w:tl2br w:val="nil"/>
              <w:tr2bl w:val="nil"/>
            </w:tcBorders>
            <w:shd w:val="clear" w:color="auto" w:fill="auto"/>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（五）停车管理备案</w:t>
            </w:r>
          </w:p>
        </w:tc>
        <w:tc>
          <w:tcPr>
            <w:tcW w:w="1800" w:type="dxa"/>
            <w:tcBorders>
              <w:tl2br w:val="nil"/>
              <w:tr2bl w:val="nil"/>
            </w:tcBorders>
            <w:shd w:val="clear" w:color="auto" w:fill="auto"/>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《北京市机动车停车条例》</w:t>
            </w:r>
          </w:p>
        </w:tc>
        <w:tc>
          <w:tcPr>
            <w:tcW w:w="8514" w:type="dxa"/>
            <w:tcBorders>
              <w:tl2br w:val="nil"/>
              <w:tr2bl w:val="nil"/>
            </w:tcBorders>
            <w:shd w:val="clear" w:color="auto" w:fill="auto"/>
            <w:vAlign w:val="center"/>
          </w:tcPr>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第二十一条</w:t>
            </w:r>
            <w:r>
              <w:rPr>
                <w:rFonts w:hint="eastAsia" w:ascii="仿宋_GB2312" w:hAnsi="仿宋" w:eastAsia="仿宋_GB2312" w:cs="仿宋"/>
                <w:color w:val="000000" w:themeColor="text1"/>
                <w:sz w:val="24"/>
              </w:rPr>
              <w:t>　经营性停车设施经营单位应当依法办理工商登记，并在经营前15日内到区停车管理部门办理备案，备案材料应当真实准确。具体备案材料由市交通行政主管部门规定。</w:t>
            </w:r>
          </w:p>
          <w:p>
            <w:pPr>
              <w:snapToGrid w:val="0"/>
              <w:spacing w:line="400" w:lineRule="exact"/>
              <w:ind w:firstLine="480" w:firstLineChars="200"/>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实行政府定价的收费停车设施，经营单位或者管理单位应当到区发展改革部门进行价格核定及明码标价牌编号。</w:t>
            </w:r>
          </w:p>
          <w:p>
            <w:pPr>
              <w:snapToGrid w:val="0"/>
              <w:spacing w:line="400" w:lineRule="exact"/>
              <w:ind w:firstLine="480" w:firstLineChars="200"/>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违反第一款规定，未如实报送停车设施设置情况的，由城市管理综合执法部门责令限期改正；逾期未改正的，处1万元罚款。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93" w:hRule="atLeast"/>
          <w:jc w:val="center"/>
        </w:trPr>
        <w:tc>
          <w:tcPr>
            <w:tcW w:w="1398" w:type="dxa"/>
            <w:vMerge w:val="continue"/>
            <w:tcBorders>
              <w:tl2br w:val="nil"/>
              <w:tr2bl w:val="nil"/>
            </w:tcBorders>
            <w:shd w:val="clear" w:color="auto" w:fill="auto"/>
            <w:vAlign w:val="center"/>
          </w:tcPr>
          <w:p>
            <w:pPr>
              <w:widowControl/>
              <w:snapToGrid w:val="0"/>
              <w:spacing w:line="400" w:lineRule="exact"/>
              <w:jc w:val="center"/>
              <w:textAlignment w:val="bottom"/>
              <w:rPr>
                <w:rFonts w:ascii="仿宋_GB2312" w:hAnsi="宋体" w:eastAsia="仿宋_GB2312" w:cs="宋体"/>
                <w:color w:val="000000" w:themeColor="text1"/>
                <w:sz w:val="24"/>
              </w:rPr>
            </w:pPr>
          </w:p>
        </w:tc>
        <w:tc>
          <w:tcPr>
            <w:tcW w:w="1824" w:type="dxa"/>
            <w:tcBorders>
              <w:tl2br w:val="nil"/>
              <w:tr2bl w:val="nil"/>
            </w:tcBorders>
            <w:shd w:val="clear" w:color="auto" w:fill="auto"/>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（六）维护停车秩序</w:t>
            </w:r>
          </w:p>
        </w:tc>
        <w:tc>
          <w:tcPr>
            <w:tcW w:w="1800" w:type="dxa"/>
            <w:tcBorders>
              <w:tl2br w:val="nil"/>
              <w:tr2bl w:val="nil"/>
            </w:tcBorders>
            <w:shd w:val="clear" w:color="auto" w:fill="auto"/>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《北京市机动车停车条例》</w:t>
            </w:r>
          </w:p>
        </w:tc>
        <w:tc>
          <w:tcPr>
            <w:tcW w:w="8514" w:type="dxa"/>
            <w:tcBorders>
              <w:tl2br w:val="nil"/>
              <w:tr2bl w:val="nil"/>
            </w:tcBorders>
            <w:shd w:val="clear" w:color="auto" w:fill="auto"/>
            <w:vAlign w:val="center"/>
          </w:tcPr>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第三条</w:t>
            </w:r>
            <w:r>
              <w:rPr>
                <w:rFonts w:hint="eastAsia" w:ascii="仿宋_GB2312" w:hAnsi="仿宋" w:eastAsia="仿宋_GB2312" w:cs="仿宋"/>
                <w:color w:val="000000" w:themeColor="text1"/>
                <w:sz w:val="24"/>
              </w:rPr>
              <w:t>　本市机动车停车坚持有偿使用、共享利用、严格执法、社会共治。全社会应当共同构建和维护机动车停车秩序，遵循停车入位、停车付费、违停受罚的基本要求。</w:t>
            </w:r>
          </w:p>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第四十二条</w:t>
            </w:r>
            <w:r>
              <w:rPr>
                <w:rFonts w:hint="eastAsia" w:ascii="仿宋_GB2312" w:hAnsi="仿宋" w:eastAsia="仿宋_GB2312" w:cs="仿宋"/>
                <w:color w:val="000000" w:themeColor="text1"/>
                <w:sz w:val="24"/>
              </w:rPr>
              <w:t>　乡镇人民政府、街道办事处确定的停车监督、管理人员，以及受委托专业化停车企业人员应当协助公安机关交通管理部门维护道路停车秩序，劝阻、告知道路停车违法行为。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42" w:hRule="atLeast"/>
          <w:jc w:val="center"/>
        </w:trPr>
        <w:tc>
          <w:tcPr>
            <w:tcW w:w="1398" w:type="dxa"/>
            <w:vMerge w:val="continue"/>
            <w:tcBorders>
              <w:tl2br w:val="nil"/>
              <w:tr2bl w:val="nil"/>
            </w:tcBorders>
            <w:shd w:val="clear" w:color="auto" w:fill="auto"/>
            <w:vAlign w:val="center"/>
          </w:tcPr>
          <w:p>
            <w:pPr>
              <w:widowControl/>
              <w:snapToGrid w:val="0"/>
              <w:spacing w:line="400" w:lineRule="exact"/>
              <w:jc w:val="center"/>
              <w:textAlignment w:val="bottom"/>
              <w:rPr>
                <w:rFonts w:ascii="仿宋_GB2312" w:hAnsi="宋体" w:eastAsia="仿宋_GB2312" w:cs="宋体"/>
                <w:color w:val="000000" w:themeColor="text1"/>
                <w:sz w:val="24"/>
              </w:rPr>
            </w:pPr>
          </w:p>
        </w:tc>
        <w:tc>
          <w:tcPr>
            <w:tcW w:w="1824" w:type="dxa"/>
            <w:tcBorders>
              <w:tl2br w:val="nil"/>
              <w:tr2bl w:val="nil"/>
            </w:tcBorders>
            <w:shd w:val="clear" w:color="auto" w:fill="auto"/>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（七）停车收费</w:t>
            </w:r>
          </w:p>
        </w:tc>
        <w:tc>
          <w:tcPr>
            <w:tcW w:w="1800" w:type="dxa"/>
            <w:tcBorders>
              <w:tl2br w:val="nil"/>
              <w:tr2bl w:val="nil"/>
            </w:tcBorders>
            <w:shd w:val="clear" w:color="auto" w:fill="auto"/>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《北京市机动车停车条例》</w:t>
            </w:r>
          </w:p>
        </w:tc>
        <w:tc>
          <w:tcPr>
            <w:tcW w:w="8514" w:type="dxa"/>
            <w:tcBorders>
              <w:tl2br w:val="nil"/>
              <w:tr2bl w:val="nil"/>
            </w:tcBorders>
            <w:shd w:val="clear" w:color="auto" w:fill="auto"/>
            <w:vAlign w:val="center"/>
          </w:tcPr>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第二十九条</w:t>
            </w:r>
            <w:r>
              <w:rPr>
                <w:rFonts w:hint="eastAsia" w:ascii="仿宋_GB2312" w:hAnsi="仿宋" w:eastAsia="仿宋_GB2312" w:cs="仿宋"/>
                <w:color w:val="000000" w:themeColor="text1"/>
                <w:sz w:val="24"/>
              </w:rPr>
              <w:t>　调整居住小区内业主共有的停车泊位的收费价格时，应当经专有部分占建筑物总面积过半数的业主且占总人数过半数的业主同意。违反规定，未按照规定程序调整居住小区停车收费价格的，由住房城乡建设部门责令限期改正，并处10万元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42" w:hRule="atLeast"/>
          <w:jc w:val="center"/>
        </w:trPr>
        <w:tc>
          <w:tcPr>
            <w:tcW w:w="1398" w:type="dxa"/>
            <w:vMerge w:val="continue"/>
            <w:tcBorders>
              <w:tl2br w:val="nil"/>
              <w:tr2bl w:val="nil"/>
            </w:tcBorders>
            <w:shd w:val="clear" w:color="auto" w:fill="auto"/>
            <w:vAlign w:val="center"/>
          </w:tcPr>
          <w:p>
            <w:pPr>
              <w:widowControl/>
              <w:snapToGrid w:val="0"/>
              <w:spacing w:line="400" w:lineRule="exact"/>
              <w:jc w:val="center"/>
              <w:textAlignment w:val="bottom"/>
              <w:rPr>
                <w:rFonts w:ascii="仿宋_GB2312" w:hAnsi="宋体" w:eastAsia="仿宋_GB2312" w:cs="宋体"/>
                <w:color w:val="000000" w:themeColor="text1"/>
                <w:sz w:val="24"/>
              </w:rPr>
            </w:pPr>
          </w:p>
        </w:tc>
        <w:tc>
          <w:tcPr>
            <w:tcW w:w="1824" w:type="dxa"/>
            <w:vMerge w:val="restart"/>
            <w:tcBorders>
              <w:tl2br w:val="nil"/>
              <w:tr2bl w:val="nil"/>
            </w:tcBorders>
            <w:shd w:val="clear" w:color="auto" w:fill="auto"/>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（八）车位管理</w:t>
            </w:r>
          </w:p>
        </w:tc>
        <w:tc>
          <w:tcPr>
            <w:tcW w:w="1800" w:type="dxa"/>
            <w:vMerge w:val="restart"/>
            <w:tcBorders>
              <w:tl2br w:val="nil"/>
              <w:tr2bl w:val="nil"/>
            </w:tcBorders>
            <w:shd w:val="clear" w:color="auto" w:fill="auto"/>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《北京市物业管理条例》</w:t>
            </w:r>
          </w:p>
        </w:tc>
        <w:tc>
          <w:tcPr>
            <w:tcW w:w="8514" w:type="dxa"/>
            <w:tcBorders>
              <w:tl2br w:val="nil"/>
              <w:tr2bl w:val="nil"/>
            </w:tcBorders>
            <w:shd w:val="clear" w:color="auto" w:fill="auto"/>
            <w:vAlign w:val="center"/>
          </w:tcPr>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第八十条</w:t>
            </w:r>
            <w:r>
              <w:rPr>
                <w:rFonts w:hint="eastAsia" w:ascii="仿宋_GB2312" w:hAnsi="仿宋" w:eastAsia="仿宋_GB2312" w:cs="仿宋"/>
                <w:color w:val="000000" w:themeColor="text1"/>
                <w:sz w:val="24"/>
              </w:rPr>
              <w:t>　物业管理区域内规划用于停放车辆的车位、车库，应当首先满足业主的需要。用于出售的，应当优先出售给本物业管理区域内的业主；不出售或者尚未售出的，应当提供给本物业管理区域内的业主使用。满足业主需要后仍有空余的，可以临时按月出租给物业管理区域外的其他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6" w:hRule="atLeast"/>
          <w:jc w:val="center"/>
        </w:trPr>
        <w:tc>
          <w:tcPr>
            <w:tcW w:w="1398" w:type="dxa"/>
            <w:vMerge w:val="continue"/>
            <w:tcBorders>
              <w:tl2br w:val="nil"/>
              <w:tr2bl w:val="nil"/>
            </w:tcBorders>
            <w:shd w:val="clear" w:color="auto" w:fill="auto"/>
            <w:vAlign w:val="center"/>
          </w:tcPr>
          <w:p>
            <w:pPr>
              <w:widowControl/>
              <w:snapToGrid w:val="0"/>
              <w:spacing w:line="400" w:lineRule="exact"/>
              <w:jc w:val="center"/>
              <w:textAlignment w:val="bottom"/>
              <w:rPr>
                <w:rFonts w:ascii="仿宋_GB2312" w:hAnsi="宋体" w:eastAsia="仿宋_GB2312" w:cs="宋体"/>
                <w:color w:val="000000" w:themeColor="text1"/>
                <w:sz w:val="24"/>
              </w:rPr>
            </w:pPr>
          </w:p>
        </w:tc>
        <w:tc>
          <w:tcPr>
            <w:tcW w:w="1824" w:type="dxa"/>
            <w:vMerge w:val="continue"/>
            <w:tcBorders>
              <w:tl2br w:val="nil"/>
              <w:tr2bl w:val="nil"/>
            </w:tcBorders>
            <w:shd w:val="clear" w:color="auto" w:fill="auto"/>
            <w:vAlign w:val="center"/>
          </w:tcPr>
          <w:p>
            <w:pPr>
              <w:widowControl/>
              <w:snapToGrid w:val="0"/>
              <w:spacing w:line="400" w:lineRule="exact"/>
              <w:textAlignment w:val="center"/>
              <w:rPr>
                <w:rFonts w:ascii="仿宋_GB2312" w:hAnsi="宋体" w:eastAsia="仿宋_GB2312" w:cs="宋体"/>
                <w:color w:val="000000" w:themeColor="text1"/>
                <w:kern w:val="0"/>
                <w:sz w:val="24"/>
              </w:rPr>
            </w:pPr>
          </w:p>
        </w:tc>
        <w:tc>
          <w:tcPr>
            <w:tcW w:w="1800" w:type="dxa"/>
            <w:vMerge w:val="continue"/>
            <w:tcBorders>
              <w:tl2br w:val="nil"/>
              <w:tr2bl w:val="nil"/>
            </w:tcBorders>
            <w:shd w:val="clear" w:color="auto" w:fill="auto"/>
            <w:vAlign w:val="center"/>
          </w:tcPr>
          <w:p>
            <w:pPr>
              <w:widowControl/>
              <w:snapToGrid w:val="0"/>
              <w:spacing w:line="400" w:lineRule="exact"/>
              <w:jc w:val="left"/>
              <w:textAlignment w:val="center"/>
              <w:rPr>
                <w:rFonts w:ascii="仿宋_GB2312" w:hAnsi="仿宋" w:eastAsia="仿宋_GB2312" w:cs="仿宋"/>
                <w:color w:val="000000" w:themeColor="text1"/>
                <w:sz w:val="24"/>
              </w:rPr>
            </w:pPr>
          </w:p>
        </w:tc>
        <w:tc>
          <w:tcPr>
            <w:tcW w:w="8514" w:type="dxa"/>
            <w:tcBorders>
              <w:tl2br w:val="nil"/>
              <w:tr2bl w:val="nil"/>
            </w:tcBorders>
            <w:shd w:val="clear" w:color="auto" w:fill="auto"/>
            <w:vAlign w:val="center"/>
          </w:tcPr>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第九十九条</w:t>
            </w:r>
            <w:r>
              <w:rPr>
                <w:rFonts w:hint="eastAsia" w:ascii="仿宋_GB2312" w:hAnsi="仿宋" w:eastAsia="仿宋_GB2312" w:cs="仿宋"/>
                <w:color w:val="000000" w:themeColor="text1"/>
                <w:sz w:val="24"/>
              </w:rPr>
              <w:t>　违反本条例第八十条规定，将车位、车库提供给业主以外的其他人的，由区住房和城乡建设或者房屋主管部门责令限期改正，有违法出租所得的，责令退还违法所得，按每个违法出租车位处五千元以上一万元以下的罚款；拒不改正的，按每个违法出租车位处每月二千元的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61" w:hRule="atLeast"/>
          <w:jc w:val="center"/>
        </w:trPr>
        <w:tc>
          <w:tcPr>
            <w:tcW w:w="1398" w:type="dxa"/>
            <w:tcBorders>
              <w:tl2br w:val="nil"/>
              <w:tr2bl w:val="nil"/>
            </w:tcBorders>
            <w:shd w:val="clear" w:color="auto" w:fill="auto"/>
            <w:vAlign w:val="center"/>
          </w:tcPr>
          <w:p>
            <w:pPr>
              <w:widowControl/>
              <w:snapToGrid w:val="0"/>
              <w:spacing w:line="400" w:lineRule="exact"/>
              <w:jc w:val="center"/>
              <w:textAlignment w:val="bottom"/>
              <w:rPr>
                <w:rFonts w:ascii="仿宋_GB2312" w:hAnsi="宋体" w:eastAsia="仿宋_GB2312" w:cs="宋体"/>
                <w:color w:val="000000" w:themeColor="text1"/>
                <w:sz w:val="24"/>
              </w:rPr>
            </w:pPr>
            <w:r>
              <w:rPr>
                <w:rFonts w:hint="eastAsia" w:ascii="仿宋_GB2312" w:hAnsi="宋体" w:eastAsia="仿宋_GB2312" w:cs="宋体"/>
                <w:color w:val="000000" w:themeColor="text1"/>
                <w:sz w:val="24"/>
              </w:rPr>
              <w:t>二、非机动车</w:t>
            </w:r>
          </w:p>
        </w:tc>
        <w:tc>
          <w:tcPr>
            <w:tcW w:w="1824" w:type="dxa"/>
            <w:tcBorders>
              <w:tl2br w:val="nil"/>
              <w:tr2bl w:val="nil"/>
            </w:tcBorders>
            <w:shd w:val="clear" w:color="auto" w:fill="auto"/>
            <w:vAlign w:val="center"/>
          </w:tcPr>
          <w:p>
            <w:pPr>
              <w:widowControl/>
              <w:snapToGrid w:val="0"/>
              <w:spacing w:line="400" w:lineRule="exact"/>
              <w:textAlignment w:val="center"/>
              <w:rPr>
                <w:rFonts w:ascii="仿宋_GB2312" w:hAnsi="宋体" w:eastAsia="仿宋_GB2312" w:cs="宋体"/>
                <w:color w:val="000000" w:themeColor="text1"/>
                <w:kern w:val="0"/>
                <w:sz w:val="24"/>
              </w:rPr>
            </w:pPr>
            <w:r>
              <w:rPr>
                <w:rFonts w:hint="eastAsia" w:ascii="仿宋_GB2312" w:hAnsi="宋体" w:eastAsia="仿宋_GB2312" w:cs="宋体"/>
                <w:color w:val="000000" w:themeColor="text1"/>
                <w:kern w:val="0"/>
                <w:sz w:val="24"/>
              </w:rPr>
              <w:t>非机动车公共停车场设置</w:t>
            </w:r>
          </w:p>
        </w:tc>
        <w:tc>
          <w:tcPr>
            <w:tcW w:w="1800" w:type="dxa"/>
            <w:tcBorders>
              <w:tl2br w:val="nil"/>
              <w:tr2bl w:val="nil"/>
            </w:tcBorders>
            <w:shd w:val="clear" w:color="auto" w:fill="auto"/>
            <w:vAlign w:val="center"/>
          </w:tcPr>
          <w:p>
            <w:pPr>
              <w:widowControl/>
              <w:snapToGrid w:val="0"/>
              <w:spacing w:line="400" w:lineRule="exact"/>
              <w:jc w:val="left"/>
              <w:textAlignment w:val="center"/>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《北京市非机动车管理条例》</w:t>
            </w:r>
          </w:p>
        </w:tc>
        <w:tc>
          <w:tcPr>
            <w:tcW w:w="8514" w:type="dxa"/>
            <w:tcBorders>
              <w:tl2br w:val="nil"/>
              <w:tr2bl w:val="nil"/>
            </w:tcBorders>
            <w:shd w:val="clear" w:color="auto" w:fill="auto"/>
            <w:vAlign w:val="center"/>
          </w:tcPr>
          <w:p>
            <w:pPr>
              <w:snapToGrid w:val="0"/>
              <w:ind w:firstLine="481" w:firstLineChars="200"/>
              <w:rPr>
                <w:rFonts w:ascii="仿宋_GB2312" w:hAnsi="仿宋" w:eastAsia="仿宋_GB2312" w:cs="仿宋"/>
                <w:b/>
                <w:bCs/>
                <w:color w:val="000000" w:themeColor="text1"/>
                <w:sz w:val="24"/>
              </w:rPr>
            </w:pPr>
          </w:p>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第二十二条</w:t>
            </w:r>
            <w:r>
              <w:rPr>
                <w:rFonts w:hint="eastAsia" w:ascii="仿宋_GB2312" w:hAnsi="仿宋" w:eastAsia="仿宋_GB2312" w:cs="仿宋"/>
                <w:color w:val="000000" w:themeColor="text1"/>
                <w:sz w:val="24"/>
              </w:rPr>
              <w:t>　非机动车公共停车场应当按照下列规范设置：</w:t>
            </w:r>
          </w:p>
          <w:p>
            <w:pPr>
              <w:snapToGrid w:val="0"/>
              <w:spacing w:line="400" w:lineRule="exact"/>
              <w:ind w:firstLine="480" w:firstLineChars="200"/>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（一）地面铺装、设置固定或者活动式围栏；</w:t>
            </w:r>
          </w:p>
          <w:p>
            <w:pPr>
              <w:snapToGrid w:val="0"/>
              <w:spacing w:line="400" w:lineRule="exact"/>
              <w:ind w:firstLine="480" w:firstLineChars="200"/>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（二）设置存车标识牌，划定存车标线；</w:t>
            </w:r>
          </w:p>
          <w:p>
            <w:pPr>
              <w:snapToGrid w:val="0"/>
              <w:spacing w:line="400" w:lineRule="exact"/>
              <w:ind w:firstLine="480" w:firstLineChars="200"/>
              <w:rPr>
                <w:rFonts w:ascii="仿宋_GB2312" w:hAnsi="仿宋" w:eastAsia="仿宋_GB2312" w:cs="仿宋"/>
                <w:color w:val="000000" w:themeColor="text1"/>
                <w:sz w:val="24"/>
              </w:rPr>
            </w:pPr>
            <w:r>
              <w:rPr>
                <w:rFonts w:hint="eastAsia" w:ascii="仿宋_GB2312" w:hAnsi="仿宋" w:eastAsia="仿宋_GB2312" w:cs="仿宋"/>
                <w:color w:val="000000" w:themeColor="text1"/>
                <w:sz w:val="24"/>
              </w:rPr>
              <w:t>（三）有条件的，设置停放架、遮雨棚房。实行收费的非机动车公共停车场应当设置存车收费价格公示牌、经营管理单位的标志及其监督电话，并安排专人负责服务和管理。</w:t>
            </w:r>
          </w:p>
          <w:p>
            <w:pPr>
              <w:snapToGrid w:val="0"/>
              <w:spacing w:line="400" w:lineRule="exact"/>
              <w:ind w:firstLine="481" w:firstLineChars="200"/>
              <w:rPr>
                <w:rFonts w:ascii="仿宋_GB2312" w:hAnsi="仿宋" w:eastAsia="仿宋_GB2312" w:cs="仿宋"/>
                <w:color w:val="000000" w:themeColor="text1"/>
                <w:sz w:val="24"/>
              </w:rPr>
            </w:pPr>
            <w:r>
              <w:rPr>
                <w:rFonts w:hint="eastAsia" w:ascii="仿宋_GB2312" w:hAnsi="仿宋" w:eastAsia="仿宋_GB2312" w:cs="仿宋"/>
                <w:b/>
                <w:bCs/>
                <w:color w:val="000000" w:themeColor="text1"/>
                <w:sz w:val="24"/>
              </w:rPr>
              <w:t>第三十二条</w:t>
            </w:r>
            <w:r>
              <w:rPr>
                <w:rFonts w:hint="eastAsia" w:ascii="仿宋_GB2312" w:hAnsi="仿宋" w:eastAsia="仿宋_GB2312" w:cs="仿宋"/>
                <w:color w:val="000000" w:themeColor="text1"/>
                <w:sz w:val="24"/>
              </w:rPr>
              <w:t>　非机动车公共停车场经营者、管理者违反本条例第二十二条、第二十三条第一项和第二项规定的，由城市管理综合行政执法部门责令改正，处1000元以上5000元以下罚款。</w:t>
            </w:r>
          </w:p>
          <w:p>
            <w:pPr>
              <w:pStyle w:val="2"/>
              <w:numPr>
                <w:ilvl w:val="0"/>
                <w:numId w:val="0"/>
              </w:numPr>
              <w:spacing w:before="0" w:after="0"/>
              <w:ind w:left="420"/>
              <w:rPr>
                <w:color w:val="000000" w:themeColor="text1"/>
              </w:rPr>
            </w:pPr>
          </w:p>
        </w:tc>
      </w:tr>
    </w:tbl>
    <w:p>
      <w:pPr>
        <w:pStyle w:val="4"/>
        <w:spacing w:before="312" w:after="312"/>
        <w:ind w:firstLine="723"/>
        <w:jc w:val="center"/>
        <w:rPr>
          <w:rFonts w:asciiTheme="minorHAnsi" w:eastAsiaTheme="minorEastAsia"/>
          <w:color w:val="000000" w:themeColor="text1"/>
          <w:sz w:val="36"/>
          <w:szCs w:val="36"/>
          <w:lang w:eastAsia="zh-CN"/>
        </w:rPr>
      </w:pPr>
      <w:bookmarkStart w:id="180" w:name="_Toc150435302"/>
      <w:r>
        <w:rPr>
          <w:color w:val="000000" w:themeColor="text1"/>
          <w:sz w:val="36"/>
          <w:szCs w:val="36"/>
        </w:rPr>
        <w:t>北京市物业管理场景综合检查单</w:t>
      </w:r>
      <w:bookmarkEnd w:id="180"/>
      <w:r>
        <w:rPr>
          <w:rFonts w:hint="eastAsia"/>
          <w:color w:val="000000" w:themeColor="text1"/>
          <w:sz w:val="36"/>
          <w:szCs w:val="36"/>
          <w:lang w:eastAsia="zh-CN"/>
        </w:rPr>
        <w:t xml:space="preserve"> </w:t>
      </w:r>
      <w:r>
        <w:rPr>
          <w:color w:val="000000" w:themeColor="text1"/>
          <w:sz w:val="36"/>
          <w:szCs w:val="36"/>
          <w:lang w:eastAsia="zh-CN"/>
        </w:rPr>
        <w:t xml:space="preserve">  </w:t>
      </w:r>
    </w:p>
    <w:tbl>
      <w:tblPr>
        <w:tblStyle w:val="26"/>
        <w:tblpPr w:leftFromText="180" w:rightFromText="180" w:vertAnchor="text" w:horzAnchor="page" w:tblpX="1438" w:tblpY="352"/>
        <w:tblOverlap w:val="never"/>
        <w:tblW w:w="145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5"/>
        <w:gridCol w:w="2272"/>
        <w:gridCol w:w="1985"/>
        <w:gridCol w:w="7"/>
        <w:gridCol w:w="1977"/>
        <w:gridCol w:w="35"/>
        <w:gridCol w:w="1122"/>
        <w:gridCol w:w="682"/>
        <w:gridCol w:w="47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14599" w:type="dxa"/>
            <w:gridSpan w:val="9"/>
            <w:tcBorders>
              <w:top w:val="single" w:color="auto" w:sz="4" w:space="0"/>
              <w:left w:val="single" w:color="auto" w:sz="4" w:space="0"/>
              <w:bottom w:val="single" w:color="auto" w:sz="4" w:space="0"/>
              <w:right w:val="single" w:color="auto" w:sz="4" w:space="0"/>
            </w:tcBorders>
            <w:vAlign w:val="center"/>
          </w:tcPr>
          <w:p>
            <w:pPr>
              <w:snapToGrid w:val="0"/>
              <w:spacing w:line="320" w:lineRule="exact"/>
              <w:jc w:val="left"/>
              <w:rPr>
                <w:color w:val="000000" w:themeColor="text1"/>
                <w:szCs w:val="21"/>
              </w:rPr>
            </w:pPr>
            <w:r>
              <w:rPr>
                <w:rFonts w:hint="eastAsia"/>
                <w:color w:val="000000" w:themeColor="text1"/>
                <w:szCs w:val="21"/>
              </w:rPr>
              <w:t>检查时间：</w:t>
            </w:r>
            <w:r>
              <w:rPr>
                <w:color w:val="000000" w:themeColor="text1"/>
                <w:szCs w:val="21"/>
              </w:rPr>
              <w:t xml:space="preserve">    </w:t>
            </w:r>
            <w:r>
              <w:rPr>
                <w:rFonts w:hint="eastAsia"/>
                <w:color w:val="000000" w:themeColor="text1"/>
                <w:szCs w:val="21"/>
              </w:rPr>
              <w:t xml:space="preserve">年 </w:t>
            </w:r>
            <w:r>
              <w:rPr>
                <w:color w:val="000000" w:themeColor="text1"/>
                <w:szCs w:val="21"/>
              </w:rPr>
              <w:t xml:space="preserve">  </w:t>
            </w:r>
            <w:r>
              <w:rPr>
                <w:rFonts w:hint="eastAsia"/>
                <w:color w:val="000000" w:themeColor="text1"/>
                <w:szCs w:val="21"/>
              </w:rPr>
              <w:t xml:space="preserve">月 </w:t>
            </w:r>
            <w:r>
              <w:rPr>
                <w:color w:val="000000" w:themeColor="text1"/>
                <w:szCs w:val="21"/>
              </w:rPr>
              <w:t xml:space="preserve">  </w:t>
            </w:r>
            <w:r>
              <w:rPr>
                <w:rFonts w:hint="eastAsia"/>
                <w:color w:val="000000" w:themeColor="text1"/>
                <w:szCs w:val="21"/>
              </w:rPr>
              <w:t xml:space="preserve">日 </w:t>
            </w:r>
            <w:r>
              <w:rPr>
                <w:color w:val="000000" w:themeColor="text1"/>
                <w:szCs w:val="21"/>
              </w:rPr>
              <w:t xml:space="preserve">  </w:t>
            </w:r>
            <w:r>
              <w:rPr>
                <w:rFonts w:hint="eastAsia"/>
                <w:color w:val="000000" w:themeColor="text1"/>
                <w:szCs w:val="21"/>
              </w:rPr>
              <w:t xml:space="preserve">时 </w:t>
            </w:r>
            <w:r>
              <w:rPr>
                <w:color w:val="000000" w:themeColor="text1"/>
                <w:szCs w:val="21"/>
              </w:rPr>
              <w:t xml:space="preserve">  </w:t>
            </w:r>
            <w:r>
              <w:rPr>
                <w:rFonts w:hint="eastAsia"/>
                <w:color w:val="000000" w:themeColor="text1"/>
                <w:szCs w:val="21"/>
              </w:rPr>
              <w:t xml:space="preserve">分— </w:t>
            </w:r>
            <w:r>
              <w:rPr>
                <w:color w:val="000000" w:themeColor="text1"/>
                <w:szCs w:val="21"/>
              </w:rPr>
              <w:t xml:space="preserve">  </w:t>
            </w:r>
            <w:r>
              <w:rPr>
                <w:rFonts w:hint="eastAsia"/>
                <w:color w:val="000000" w:themeColor="text1"/>
                <w:szCs w:val="21"/>
              </w:rPr>
              <w:t xml:space="preserve">时 </w:t>
            </w:r>
            <w:r>
              <w:rPr>
                <w:color w:val="000000" w:themeColor="text1"/>
                <w:szCs w:val="21"/>
              </w:rPr>
              <w:t xml:space="preserve">  </w:t>
            </w:r>
            <w:r>
              <w:rPr>
                <w:rFonts w:hint="eastAsia"/>
                <w:color w:val="000000" w:themeColor="text1"/>
                <w:szCs w:val="21"/>
              </w:rPr>
              <w:t>分</w:t>
            </w:r>
          </w:p>
          <w:p>
            <w:pPr>
              <w:pStyle w:val="49"/>
              <w:spacing w:beforeLines="0"/>
              <w:rPr>
                <w:bCs/>
                <w:color w:val="000000" w:themeColor="text1"/>
                <w:sz w:val="21"/>
                <w:szCs w:val="21"/>
              </w:rPr>
            </w:pPr>
            <w:r>
              <w:rPr>
                <w:rFonts w:hint="eastAsia" w:asciiTheme="minorHAnsi" w:hAnsiTheme="minorHAnsi" w:eastAsiaTheme="minorEastAsia" w:cstheme="minorBidi"/>
                <w:b w:val="0"/>
                <w:color w:val="000000" w:themeColor="text1"/>
                <w:sz w:val="21"/>
                <w:szCs w:val="21"/>
              </w:rPr>
              <w:t>单号：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1805" w:type="dxa"/>
            <w:tcBorders>
              <w:top w:val="single" w:color="auto" w:sz="4" w:space="0"/>
              <w:left w:val="single" w:color="auto" w:sz="4" w:space="0"/>
              <w:bottom w:val="single" w:color="auto" w:sz="4" w:space="0"/>
              <w:right w:val="single" w:color="auto" w:sz="4" w:space="0"/>
            </w:tcBorders>
            <w:vAlign w:val="center"/>
          </w:tcPr>
          <w:p>
            <w:pPr>
              <w:snapToGrid w:val="0"/>
              <w:spacing w:line="320" w:lineRule="exact"/>
              <w:ind w:right="105"/>
              <w:jc w:val="center"/>
              <w:rPr>
                <w:rFonts w:ascii="宋体" w:hAnsi="宋体"/>
                <w:color w:val="000000" w:themeColor="text1"/>
                <w:szCs w:val="21"/>
              </w:rPr>
            </w:pPr>
            <w:r>
              <w:rPr>
                <w:rFonts w:hint="eastAsia"/>
                <w:color w:val="000000" w:themeColor="text1"/>
                <w:szCs w:val="21"/>
              </w:rPr>
              <w:t>物业项目名称</w:t>
            </w:r>
          </w:p>
        </w:tc>
        <w:tc>
          <w:tcPr>
            <w:tcW w:w="2272" w:type="dxa"/>
            <w:tcBorders>
              <w:top w:val="single" w:color="auto" w:sz="4" w:space="0"/>
              <w:left w:val="single" w:color="auto" w:sz="4" w:space="0"/>
              <w:bottom w:val="single" w:color="auto" w:sz="4" w:space="0"/>
              <w:right w:val="single" w:color="auto" w:sz="4" w:space="0"/>
            </w:tcBorders>
            <w:vAlign w:val="center"/>
          </w:tcPr>
          <w:p>
            <w:pPr>
              <w:snapToGrid w:val="0"/>
              <w:spacing w:line="320" w:lineRule="exact"/>
              <w:rPr>
                <w:color w:val="000000" w:themeColor="text1"/>
                <w:szCs w:val="21"/>
              </w:rPr>
            </w:pPr>
          </w:p>
        </w:tc>
        <w:tc>
          <w:tcPr>
            <w:tcW w:w="1992"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20" w:lineRule="exact"/>
              <w:ind w:firstLine="420" w:firstLineChars="200"/>
              <w:rPr>
                <w:color w:val="000000" w:themeColor="text1"/>
                <w:szCs w:val="21"/>
              </w:rPr>
            </w:pPr>
            <w:r>
              <w:rPr>
                <w:rFonts w:hint="eastAsia"/>
                <w:color w:val="000000" w:themeColor="text1"/>
                <w:szCs w:val="21"/>
              </w:rPr>
              <w:t>所属街道</w:t>
            </w:r>
          </w:p>
        </w:tc>
        <w:tc>
          <w:tcPr>
            <w:tcW w:w="8530" w:type="dxa"/>
            <w:gridSpan w:val="5"/>
            <w:tcBorders>
              <w:top w:val="single" w:color="auto" w:sz="4" w:space="0"/>
              <w:left w:val="single" w:color="auto" w:sz="4" w:space="0"/>
              <w:bottom w:val="single" w:color="auto" w:sz="4" w:space="0"/>
              <w:right w:val="single" w:color="auto" w:sz="4" w:space="0"/>
            </w:tcBorders>
            <w:vAlign w:val="center"/>
          </w:tcPr>
          <w:p>
            <w:pPr>
              <w:snapToGrid w:val="0"/>
              <w:spacing w:line="320" w:lineRule="exact"/>
              <w:jc w:val="right"/>
              <w:rPr>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1805" w:type="dxa"/>
            <w:tcBorders>
              <w:top w:val="single" w:color="auto" w:sz="4" w:space="0"/>
              <w:left w:val="single" w:color="auto" w:sz="4" w:space="0"/>
              <w:bottom w:val="single" w:color="auto" w:sz="4" w:space="0"/>
              <w:right w:val="single" w:color="auto" w:sz="4" w:space="0"/>
            </w:tcBorders>
            <w:vAlign w:val="center"/>
          </w:tcPr>
          <w:p>
            <w:pPr>
              <w:snapToGrid w:val="0"/>
              <w:spacing w:line="320" w:lineRule="exact"/>
              <w:jc w:val="center"/>
              <w:rPr>
                <w:color w:val="000000" w:themeColor="text1"/>
                <w:szCs w:val="21"/>
              </w:rPr>
            </w:pPr>
            <w:r>
              <w:rPr>
                <w:rFonts w:hint="eastAsia"/>
                <w:color w:val="000000" w:themeColor="text1"/>
                <w:szCs w:val="21"/>
              </w:rPr>
              <w:t>检查地点</w:t>
            </w:r>
          </w:p>
        </w:tc>
        <w:tc>
          <w:tcPr>
            <w:tcW w:w="12794" w:type="dxa"/>
            <w:gridSpan w:val="8"/>
            <w:tcBorders>
              <w:top w:val="single" w:color="auto" w:sz="4" w:space="0"/>
              <w:left w:val="single" w:color="auto" w:sz="4" w:space="0"/>
              <w:bottom w:val="single" w:color="auto" w:sz="4" w:space="0"/>
              <w:right w:val="single" w:color="auto" w:sz="4" w:space="0"/>
            </w:tcBorders>
          </w:tcPr>
          <w:p>
            <w:pPr>
              <w:snapToGrid w:val="0"/>
              <w:spacing w:line="320" w:lineRule="exact"/>
              <w:jc w:val="right"/>
              <w:rPr>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1805" w:type="dxa"/>
            <w:tcBorders>
              <w:top w:val="single" w:color="auto" w:sz="4" w:space="0"/>
              <w:left w:val="single" w:color="auto" w:sz="4" w:space="0"/>
              <w:bottom w:val="single" w:color="auto" w:sz="4" w:space="0"/>
              <w:right w:val="single" w:color="auto" w:sz="4" w:space="0"/>
            </w:tcBorders>
            <w:vAlign w:val="center"/>
          </w:tcPr>
          <w:p>
            <w:pPr>
              <w:snapToGrid w:val="0"/>
              <w:spacing w:line="320" w:lineRule="exact"/>
              <w:jc w:val="center"/>
              <w:rPr>
                <w:rFonts w:ascii="宋体" w:hAnsi="宋体"/>
                <w:color w:val="000000" w:themeColor="text1"/>
                <w:szCs w:val="21"/>
              </w:rPr>
            </w:pPr>
            <w:r>
              <w:rPr>
                <w:rFonts w:hint="eastAsia" w:ascii="宋体" w:hAnsi="宋体"/>
                <w:color w:val="000000" w:themeColor="text1"/>
                <w:szCs w:val="21"/>
              </w:rPr>
              <w:t>物业服务企业</w:t>
            </w:r>
          </w:p>
        </w:tc>
        <w:tc>
          <w:tcPr>
            <w:tcW w:w="4257" w:type="dxa"/>
            <w:gridSpan w:val="2"/>
            <w:tcBorders>
              <w:top w:val="single" w:color="auto" w:sz="4" w:space="0"/>
              <w:left w:val="single" w:color="auto" w:sz="4" w:space="0"/>
              <w:bottom w:val="single" w:color="auto" w:sz="4" w:space="0"/>
              <w:right w:val="single" w:color="auto" w:sz="4" w:space="0"/>
            </w:tcBorders>
          </w:tcPr>
          <w:p>
            <w:pPr>
              <w:snapToGrid w:val="0"/>
              <w:spacing w:line="320" w:lineRule="exact"/>
              <w:jc w:val="right"/>
              <w:rPr>
                <w:color w:val="000000" w:themeColor="text1"/>
                <w:szCs w:val="21"/>
              </w:rPr>
            </w:pPr>
          </w:p>
        </w:tc>
        <w:tc>
          <w:tcPr>
            <w:tcW w:w="1984"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20" w:lineRule="exact"/>
              <w:rPr>
                <w:color w:val="000000" w:themeColor="text1"/>
                <w:szCs w:val="21"/>
              </w:rPr>
            </w:pPr>
            <w:r>
              <w:rPr>
                <w:rFonts w:hint="eastAsia" w:ascii="宋体" w:hAnsi="宋体"/>
                <w:color w:val="000000" w:themeColor="text1"/>
                <w:szCs w:val="21"/>
              </w:rPr>
              <w:t>统一社会信用代码</w:t>
            </w:r>
          </w:p>
        </w:tc>
        <w:tc>
          <w:tcPr>
            <w:tcW w:w="6553" w:type="dxa"/>
            <w:gridSpan w:val="4"/>
            <w:tcBorders>
              <w:top w:val="single" w:color="auto" w:sz="4" w:space="0"/>
              <w:left w:val="single" w:color="auto" w:sz="4" w:space="0"/>
              <w:bottom w:val="single" w:color="auto" w:sz="4" w:space="0"/>
              <w:right w:val="single" w:color="auto" w:sz="4" w:space="0"/>
            </w:tcBorders>
          </w:tcPr>
          <w:p>
            <w:pPr>
              <w:snapToGrid w:val="0"/>
              <w:spacing w:line="320" w:lineRule="exact"/>
              <w:jc w:val="right"/>
              <w:rPr>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1805" w:type="dxa"/>
            <w:tcBorders>
              <w:top w:val="single" w:color="auto" w:sz="4" w:space="0"/>
              <w:left w:val="single" w:color="auto" w:sz="4" w:space="0"/>
              <w:bottom w:val="single" w:color="auto" w:sz="4" w:space="0"/>
              <w:right w:val="single" w:color="auto" w:sz="4" w:space="0"/>
            </w:tcBorders>
            <w:vAlign w:val="center"/>
          </w:tcPr>
          <w:p>
            <w:pPr>
              <w:snapToGrid w:val="0"/>
              <w:spacing w:line="320" w:lineRule="exact"/>
              <w:ind w:right="105"/>
              <w:jc w:val="center"/>
              <w:rPr>
                <w:rFonts w:ascii="宋体" w:hAnsi="宋体"/>
                <w:color w:val="000000" w:themeColor="text1"/>
                <w:szCs w:val="21"/>
              </w:rPr>
            </w:pPr>
            <w:r>
              <w:rPr>
                <w:rFonts w:hint="eastAsia" w:ascii="宋体" w:hAnsi="宋体"/>
                <w:color w:val="000000" w:themeColor="text1"/>
                <w:szCs w:val="21"/>
              </w:rPr>
              <w:t>负责人姓名</w:t>
            </w:r>
          </w:p>
        </w:tc>
        <w:tc>
          <w:tcPr>
            <w:tcW w:w="2272" w:type="dxa"/>
            <w:tcBorders>
              <w:top w:val="single" w:color="auto" w:sz="4" w:space="0"/>
              <w:left w:val="single" w:color="auto" w:sz="4" w:space="0"/>
              <w:bottom w:val="single" w:color="auto" w:sz="4" w:space="0"/>
              <w:right w:val="single" w:color="auto" w:sz="4" w:space="0"/>
            </w:tcBorders>
            <w:vAlign w:val="center"/>
          </w:tcPr>
          <w:p>
            <w:pPr>
              <w:snapToGrid w:val="0"/>
              <w:spacing w:line="320" w:lineRule="exact"/>
              <w:rPr>
                <w:color w:val="000000" w:themeColor="text1"/>
                <w:szCs w:val="21"/>
              </w:rPr>
            </w:pPr>
          </w:p>
        </w:tc>
        <w:tc>
          <w:tcPr>
            <w:tcW w:w="1992"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20" w:lineRule="exact"/>
              <w:ind w:firstLine="420" w:firstLineChars="200"/>
              <w:rPr>
                <w:color w:val="000000" w:themeColor="text1"/>
                <w:szCs w:val="21"/>
              </w:rPr>
            </w:pPr>
            <w:r>
              <w:rPr>
                <w:rFonts w:hint="eastAsia"/>
                <w:color w:val="000000" w:themeColor="text1"/>
                <w:szCs w:val="21"/>
              </w:rPr>
              <w:t>联系方式</w:t>
            </w:r>
          </w:p>
        </w:tc>
        <w:tc>
          <w:tcPr>
            <w:tcW w:w="8530" w:type="dxa"/>
            <w:gridSpan w:val="5"/>
            <w:tcBorders>
              <w:top w:val="single" w:color="auto" w:sz="4" w:space="0"/>
              <w:left w:val="single" w:color="auto" w:sz="4" w:space="0"/>
              <w:bottom w:val="single" w:color="auto" w:sz="4" w:space="0"/>
              <w:right w:val="single" w:color="auto" w:sz="4" w:space="0"/>
            </w:tcBorders>
            <w:vAlign w:val="center"/>
          </w:tcPr>
          <w:p>
            <w:pPr>
              <w:snapToGrid w:val="0"/>
              <w:spacing w:line="320" w:lineRule="exact"/>
              <w:jc w:val="right"/>
              <w:rPr>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trPr>
        <w:tc>
          <w:tcPr>
            <w:tcW w:w="1805"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olor w:val="000000" w:themeColor="text1"/>
                <w:szCs w:val="21"/>
              </w:rPr>
            </w:pPr>
            <w:r>
              <w:rPr>
                <w:rFonts w:hint="eastAsia" w:ascii="宋体" w:hAnsi="宋体"/>
                <w:color w:val="000000" w:themeColor="text1"/>
                <w:szCs w:val="21"/>
              </w:rPr>
              <w:t>物业管理</w:t>
            </w:r>
          </w:p>
          <w:p>
            <w:pPr>
              <w:snapToGrid w:val="0"/>
              <w:jc w:val="center"/>
              <w:rPr>
                <w:rFonts w:ascii="宋体" w:hAnsi="宋体"/>
                <w:color w:val="000000" w:themeColor="text1"/>
                <w:szCs w:val="21"/>
              </w:rPr>
            </w:pPr>
            <w:r>
              <w:rPr>
                <w:rFonts w:hint="eastAsia" w:ascii="宋体" w:hAnsi="宋体"/>
                <w:color w:val="000000" w:themeColor="text1"/>
                <w:szCs w:val="21"/>
              </w:rPr>
              <w:t>区域规模</w:t>
            </w:r>
          </w:p>
        </w:tc>
        <w:tc>
          <w:tcPr>
            <w:tcW w:w="2272"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olor w:val="000000" w:themeColor="text1"/>
                <w:szCs w:val="21"/>
              </w:rPr>
            </w:pPr>
            <w:r>
              <w:rPr>
                <w:rFonts w:hint="eastAsia" w:ascii="宋体" w:hAnsi="宋体"/>
                <w:color w:val="000000" w:themeColor="text1"/>
                <w:szCs w:val="21"/>
              </w:rPr>
              <w:t>总建筑面积</w:t>
            </w:r>
          </w:p>
          <w:p>
            <w:pPr>
              <w:snapToGrid w:val="0"/>
              <w:jc w:val="center"/>
              <w:rPr>
                <w:rFonts w:ascii="宋体" w:hAnsi="宋体"/>
                <w:color w:val="000000" w:themeColor="text1"/>
                <w:szCs w:val="21"/>
              </w:rPr>
            </w:pPr>
            <w:r>
              <w:rPr>
                <w:rFonts w:hint="eastAsia" w:ascii="宋体" w:hAnsi="宋体"/>
                <w:color w:val="000000" w:themeColor="text1"/>
                <w:szCs w:val="21"/>
              </w:rPr>
              <w:t xml:space="preserve">（ </w:t>
            </w:r>
            <w:r>
              <w:rPr>
                <w:rFonts w:ascii="宋体" w:hAnsi="宋体"/>
                <w:color w:val="000000" w:themeColor="text1"/>
                <w:szCs w:val="21"/>
              </w:rPr>
              <w:t xml:space="preserve">    </w:t>
            </w:r>
            <w:r>
              <w:rPr>
                <w:rFonts w:hint="eastAsia" w:ascii="宋体" w:hAnsi="宋体"/>
                <w:color w:val="000000" w:themeColor="text1"/>
                <w:szCs w:val="21"/>
              </w:rPr>
              <w:t>）</w:t>
            </w:r>
            <w:r>
              <w:rPr>
                <w:rFonts w:hint="eastAsia" w:ascii="宋体" w:hAnsi="宋体" w:cs="宋体"/>
                <w:color w:val="000000" w:themeColor="text1"/>
                <w:szCs w:val="21"/>
              </w:rPr>
              <w:t>㎡</w:t>
            </w:r>
          </w:p>
        </w:tc>
        <w:tc>
          <w:tcPr>
            <w:tcW w:w="4004" w:type="dxa"/>
            <w:gridSpan w:val="4"/>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olor w:val="000000" w:themeColor="text1"/>
                <w:szCs w:val="21"/>
              </w:rPr>
            </w:pPr>
            <w:r>
              <w:rPr>
                <w:rFonts w:hint="eastAsia" w:ascii="宋体" w:hAnsi="宋体"/>
                <w:color w:val="000000" w:themeColor="text1"/>
                <w:szCs w:val="21"/>
              </w:rPr>
              <w:t xml:space="preserve">住宅（ </w:t>
            </w:r>
            <w:r>
              <w:rPr>
                <w:rFonts w:ascii="宋体" w:hAnsi="宋体"/>
                <w:color w:val="000000" w:themeColor="text1"/>
                <w:szCs w:val="21"/>
              </w:rPr>
              <w:t xml:space="preserve">       </w:t>
            </w:r>
            <w:r>
              <w:rPr>
                <w:rFonts w:hint="eastAsia" w:ascii="宋体" w:hAnsi="宋体"/>
                <w:color w:val="000000" w:themeColor="text1"/>
                <w:szCs w:val="21"/>
              </w:rPr>
              <w:t>）栋</w:t>
            </w:r>
          </w:p>
          <w:p>
            <w:pPr>
              <w:snapToGrid w:val="0"/>
              <w:jc w:val="center"/>
              <w:rPr>
                <w:rFonts w:ascii="宋体" w:hAnsi="宋体"/>
                <w:color w:val="000000" w:themeColor="text1"/>
                <w:szCs w:val="21"/>
              </w:rPr>
            </w:pPr>
            <w:r>
              <w:rPr>
                <w:rFonts w:hint="eastAsia" w:ascii="宋体" w:hAnsi="宋体"/>
                <w:color w:val="000000" w:themeColor="text1"/>
                <w:szCs w:val="21"/>
              </w:rPr>
              <w:t xml:space="preserve">高层（ </w:t>
            </w:r>
            <w:r>
              <w:rPr>
                <w:rFonts w:ascii="宋体" w:hAnsi="宋体"/>
                <w:color w:val="000000" w:themeColor="text1"/>
                <w:szCs w:val="21"/>
              </w:rPr>
              <w:t xml:space="preserve">       </w:t>
            </w:r>
            <w:r>
              <w:rPr>
                <w:rFonts w:hint="eastAsia" w:ascii="宋体" w:hAnsi="宋体"/>
                <w:color w:val="000000" w:themeColor="text1"/>
                <w:szCs w:val="21"/>
              </w:rPr>
              <w:t>）栋</w:t>
            </w:r>
          </w:p>
          <w:p>
            <w:pPr>
              <w:snapToGrid w:val="0"/>
              <w:jc w:val="center"/>
              <w:rPr>
                <w:rFonts w:ascii="宋体" w:hAnsi="宋体"/>
                <w:color w:val="000000" w:themeColor="text1"/>
                <w:szCs w:val="21"/>
              </w:rPr>
            </w:pPr>
            <w:r>
              <w:rPr>
                <w:rFonts w:hint="eastAsia" w:ascii="宋体" w:hAnsi="宋体"/>
                <w:color w:val="000000" w:themeColor="text1"/>
                <w:szCs w:val="21"/>
              </w:rPr>
              <w:t xml:space="preserve">多层（ </w:t>
            </w:r>
            <w:r>
              <w:rPr>
                <w:rFonts w:ascii="宋体" w:hAnsi="宋体"/>
                <w:color w:val="000000" w:themeColor="text1"/>
                <w:szCs w:val="21"/>
              </w:rPr>
              <w:t xml:space="preserve">       </w:t>
            </w:r>
            <w:r>
              <w:rPr>
                <w:rFonts w:hint="eastAsia" w:ascii="宋体" w:hAnsi="宋体"/>
                <w:color w:val="000000" w:themeColor="text1"/>
                <w:szCs w:val="21"/>
              </w:rPr>
              <w:t>）栋</w:t>
            </w:r>
          </w:p>
          <w:p>
            <w:pPr>
              <w:snapToGrid w:val="0"/>
              <w:jc w:val="center"/>
              <w:rPr>
                <w:rFonts w:ascii="宋体" w:hAnsi="宋体"/>
                <w:color w:val="000000" w:themeColor="text1"/>
                <w:szCs w:val="21"/>
              </w:rPr>
            </w:pPr>
            <w:r>
              <w:rPr>
                <w:rFonts w:hint="eastAsia" w:ascii="宋体" w:hAnsi="宋体"/>
                <w:color w:val="000000" w:themeColor="text1"/>
                <w:szCs w:val="21"/>
              </w:rPr>
              <w:t xml:space="preserve">建筑面积（ </w:t>
            </w:r>
            <w:r>
              <w:rPr>
                <w:rFonts w:ascii="宋体" w:hAnsi="宋体"/>
                <w:color w:val="000000" w:themeColor="text1"/>
                <w:szCs w:val="21"/>
              </w:rPr>
              <w:t xml:space="preserve">         </w:t>
            </w:r>
            <w:r>
              <w:rPr>
                <w:rFonts w:hint="eastAsia" w:ascii="宋体" w:hAnsi="宋体"/>
                <w:color w:val="000000" w:themeColor="text1"/>
                <w:szCs w:val="21"/>
              </w:rPr>
              <w:t>）㎡</w:t>
            </w:r>
          </w:p>
        </w:tc>
        <w:tc>
          <w:tcPr>
            <w:tcW w:w="1804"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olor w:val="000000" w:themeColor="text1"/>
                <w:szCs w:val="21"/>
              </w:rPr>
            </w:pPr>
            <w:r>
              <w:rPr>
                <w:rFonts w:hint="eastAsia" w:ascii="宋体" w:hAnsi="宋体"/>
                <w:color w:val="000000" w:themeColor="text1"/>
                <w:szCs w:val="21"/>
              </w:rPr>
              <w:t>项目类型</w:t>
            </w:r>
          </w:p>
        </w:tc>
        <w:tc>
          <w:tcPr>
            <w:tcW w:w="4714" w:type="dxa"/>
            <w:tcBorders>
              <w:top w:val="single" w:color="auto" w:sz="4" w:space="0"/>
              <w:left w:val="single" w:color="auto" w:sz="4" w:space="0"/>
              <w:bottom w:val="single" w:color="auto" w:sz="4" w:space="0"/>
              <w:right w:val="single" w:color="auto" w:sz="4" w:space="0"/>
            </w:tcBorders>
            <w:vAlign w:val="center"/>
          </w:tcPr>
          <w:p>
            <w:pPr>
              <w:snapToGrid w:val="0"/>
              <w:rPr>
                <w:rFonts w:ascii="宋体" w:hAnsi="宋体"/>
                <w:color w:val="000000" w:themeColor="text1"/>
                <w:szCs w:val="21"/>
              </w:rPr>
            </w:pPr>
            <w:r>
              <w:rPr>
                <w:rFonts w:hint="eastAsia" w:ascii="宋体" w:hAnsi="宋体"/>
                <w:color w:val="000000" w:themeColor="text1"/>
                <w:szCs w:val="21"/>
              </w:rPr>
              <w:t>□商品房</w:t>
            </w:r>
          </w:p>
          <w:p>
            <w:pPr>
              <w:snapToGrid w:val="0"/>
              <w:rPr>
                <w:rFonts w:ascii="宋体" w:hAnsi="宋体"/>
                <w:color w:val="000000" w:themeColor="text1"/>
                <w:szCs w:val="21"/>
              </w:rPr>
            </w:pPr>
            <w:r>
              <w:rPr>
                <w:rFonts w:hint="eastAsia" w:ascii="宋体" w:hAnsi="宋体"/>
                <w:color w:val="000000" w:themeColor="text1"/>
                <w:szCs w:val="21"/>
              </w:rPr>
              <w:t>□经济适用房</w:t>
            </w:r>
          </w:p>
          <w:p>
            <w:pPr>
              <w:snapToGrid w:val="0"/>
              <w:rPr>
                <w:rFonts w:ascii="宋体" w:hAnsi="宋体"/>
                <w:color w:val="000000" w:themeColor="text1"/>
                <w:szCs w:val="21"/>
              </w:rPr>
            </w:pPr>
            <w:r>
              <w:rPr>
                <w:rFonts w:hint="eastAsia" w:ascii="宋体" w:hAnsi="宋体"/>
                <w:color w:val="000000" w:themeColor="text1"/>
                <w:szCs w:val="21"/>
              </w:rPr>
              <w:t>□两限房</w:t>
            </w:r>
          </w:p>
          <w:p>
            <w:pPr>
              <w:snapToGrid w:val="0"/>
              <w:rPr>
                <w:rFonts w:ascii="宋体" w:hAnsi="宋体"/>
                <w:color w:val="000000" w:themeColor="text1"/>
                <w:szCs w:val="21"/>
              </w:rPr>
            </w:pPr>
            <w:r>
              <w:rPr>
                <w:rFonts w:hint="eastAsia" w:ascii="宋体" w:hAnsi="宋体"/>
                <w:color w:val="000000" w:themeColor="text1"/>
                <w:szCs w:val="21"/>
              </w:rPr>
              <w:t>□廉租房</w:t>
            </w:r>
          </w:p>
          <w:p>
            <w:pPr>
              <w:snapToGrid w:val="0"/>
              <w:rPr>
                <w:rFonts w:ascii="宋体" w:hAnsi="宋体"/>
                <w:color w:val="000000" w:themeColor="text1"/>
                <w:szCs w:val="21"/>
              </w:rPr>
            </w:pPr>
            <w:r>
              <w:rPr>
                <w:rFonts w:hint="eastAsia" w:ascii="宋体" w:hAnsi="宋体"/>
                <w:color w:val="000000" w:themeColor="text1"/>
                <w:szCs w:val="21"/>
              </w:rPr>
              <w:t>□直管公房</w:t>
            </w:r>
          </w:p>
          <w:p>
            <w:pPr>
              <w:snapToGrid w:val="0"/>
              <w:rPr>
                <w:rFonts w:ascii="宋体" w:hAnsi="宋体"/>
                <w:color w:val="000000" w:themeColor="text1"/>
                <w:szCs w:val="21"/>
              </w:rPr>
            </w:pPr>
            <w:r>
              <w:rPr>
                <w:rFonts w:hint="eastAsia" w:ascii="宋体" w:hAnsi="宋体"/>
                <w:color w:val="000000" w:themeColor="text1"/>
                <w:szCs w:val="21"/>
              </w:rPr>
              <w:t>□危改、回迁房</w:t>
            </w:r>
          </w:p>
          <w:p>
            <w:pPr>
              <w:snapToGrid w:val="0"/>
              <w:rPr>
                <w:rFonts w:ascii="宋体" w:hAnsi="宋体"/>
                <w:color w:val="000000" w:themeColor="text1"/>
                <w:szCs w:val="21"/>
              </w:rPr>
            </w:pPr>
            <w:r>
              <w:rPr>
                <w:rFonts w:hint="eastAsia" w:ascii="宋体" w:hAnsi="宋体"/>
                <w:color w:val="000000" w:themeColor="text1"/>
                <w:szCs w:val="21"/>
              </w:rPr>
              <w:t>□房改房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1805"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olor w:val="000000" w:themeColor="text1"/>
                <w:szCs w:val="21"/>
              </w:rPr>
            </w:pPr>
            <w:r>
              <w:rPr>
                <w:rFonts w:hint="eastAsia" w:ascii="宋体" w:hAnsi="宋体"/>
                <w:color w:val="000000" w:themeColor="text1"/>
                <w:szCs w:val="21"/>
              </w:rPr>
              <w:t>开发建设单位</w:t>
            </w:r>
          </w:p>
        </w:tc>
        <w:tc>
          <w:tcPr>
            <w:tcW w:w="12794" w:type="dxa"/>
            <w:gridSpan w:val="8"/>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jc w:val="center"/>
              <w:rPr>
                <w:rFonts w:ascii="宋体" w:hAnsi="宋体"/>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805"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olor w:val="000000" w:themeColor="text1"/>
                <w:szCs w:val="21"/>
              </w:rPr>
            </w:pPr>
            <w:r>
              <w:rPr>
                <w:rFonts w:hint="eastAsia" w:ascii="宋体" w:hAnsi="宋体"/>
                <w:color w:val="000000" w:themeColor="text1"/>
                <w:szCs w:val="21"/>
              </w:rPr>
              <w:t>物业服务</w:t>
            </w:r>
          </w:p>
          <w:p>
            <w:pPr>
              <w:snapToGrid w:val="0"/>
              <w:jc w:val="center"/>
              <w:rPr>
                <w:rFonts w:ascii="宋体" w:hAnsi="宋体"/>
                <w:color w:val="000000" w:themeColor="text1"/>
                <w:szCs w:val="21"/>
              </w:rPr>
            </w:pPr>
            <w:r>
              <w:rPr>
                <w:rFonts w:hint="eastAsia" w:ascii="宋体" w:hAnsi="宋体"/>
                <w:color w:val="000000" w:themeColor="text1"/>
                <w:szCs w:val="21"/>
              </w:rPr>
              <w:t>合同类型</w:t>
            </w:r>
          </w:p>
        </w:tc>
        <w:tc>
          <w:tcPr>
            <w:tcW w:w="4257" w:type="dxa"/>
            <w:gridSpan w:val="2"/>
            <w:tcBorders>
              <w:top w:val="single" w:color="auto" w:sz="4" w:space="0"/>
              <w:left w:val="single" w:color="auto" w:sz="4" w:space="0"/>
              <w:bottom w:val="single" w:color="auto" w:sz="4" w:space="0"/>
              <w:right w:val="single" w:color="auto" w:sz="4" w:space="0"/>
            </w:tcBorders>
            <w:vAlign w:val="center"/>
          </w:tcPr>
          <w:p>
            <w:pPr>
              <w:snapToGrid w:val="0"/>
              <w:ind w:left="240"/>
              <w:rPr>
                <w:rFonts w:ascii="宋体" w:hAnsi="宋体"/>
                <w:color w:val="000000" w:themeColor="text1"/>
                <w:szCs w:val="21"/>
              </w:rPr>
            </w:pPr>
            <w:r>
              <w:rPr>
                <w:rFonts w:hint="eastAsia" w:ascii="宋体" w:hAnsi="宋体"/>
                <w:color w:val="000000" w:themeColor="text1"/>
                <w:szCs w:val="21"/>
              </w:rPr>
              <w:t>□前期物业</w:t>
            </w:r>
          </w:p>
          <w:p>
            <w:pPr>
              <w:snapToGrid w:val="0"/>
              <w:ind w:left="240"/>
              <w:rPr>
                <w:rFonts w:ascii="宋体" w:hAnsi="宋体"/>
                <w:color w:val="000000" w:themeColor="text1"/>
                <w:szCs w:val="21"/>
              </w:rPr>
            </w:pPr>
            <w:r>
              <w:rPr>
                <w:rFonts w:hint="eastAsia" w:ascii="宋体" w:hAnsi="宋体"/>
                <w:color w:val="000000" w:themeColor="text1"/>
                <w:szCs w:val="21"/>
              </w:rPr>
              <w:t>□前期沿用</w:t>
            </w:r>
          </w:p>
          <w:p>
            <w:pPr>
              <w:autoSpaceDE w:val="0"/>
              <w:autoSpaceDN w:val="0"/>
              <w:adjustRightInd w:val="0"/>
              <w:snapToGrid w:val="0"/>
              <w:ind w:firstLine="210" w:firstLineChars="100"/>
              <w:rPr>
                <w:rFonts w:ascii="宋体" w:hAnsi="宋体"/>
                <w:color w:val="000000" w:themeColor="text1"/>
                <w:szCs w:val="21"/>
              </w:rPr>
            </w:pPr>
            <w:r>
              <w:rPr>
                <w:rFonts w:hint="eastAsia" w:ascii="宋体" w:hAnsi="宋体"/>
                <w:color w:val="000000" w:themeColor="text1"/>
                <w:szCs w:val="21"/>
              </w:rPr>
              <w:t>□业主大会选聘</w:t>
            </w:r>
          </w:p>
        </w:tc>
        <w:tc>
          <w:tcPr>
            <w:tcW w:w="3141" w:type="dxa"/>
            <w:gridSpan w:val="4"/>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olor w:val="000000" w:themeColor="text1"/>
                <w:szCs w:val="21"/>
              </w:rPr>
            </w:pPr>
            <w:r>
              <w:rPr>
                <w:rFonts w:hint="eastAsia" w:ascii="宋体" w:hAnsi="宋体"/>
                <w:color w:val="000000" w:themeColor="text1"/>
                <w:szCs w:val="21"/>
              </w:rPr>
              <w:t>物业服务</w:t>
            </w:r>
          </w:p>
          <w:p>
            <w:pPr>
              <w:autoSpaceDE w:val="0"/>
              <w:autoSpaceDN w:val="0"/>
              <w:adjustRightInd w:val="0"/>
              <w:snapToGrid w:val="0"/>
              <w:jc w:val="center"/>
              <w:rPr>
                <w:rFonts w:ascii="宋体" w:hAnsi="宋体"/>
                <w:color w:val="000000" w:themeColor="text1"/>
                <w:szCs w:val="21"/>
              </w:rPr>
            </w:pPr>
            <w:r>
              <w:rPr>
                <w:rFonts w:hint="eastAsia" w:ascii="宋体" w:hAnsi="宋体"/>
                <w:color w:val="000000" w:themeColor="text1"/>
                <w:szCs w:val="21"/>
              </w:rPr>
              <w:t>合同期限</w:t>
            </w:r>
          </w:p>
        </w:tc>
        <w:tc>
          <w:tcPr>
            <w:tcW w:w="5396" w:type="dxa"/>
            <w:gridSpan w:val="2"/>
            <w:tcBorders>
              <w:top w:val="single" w:color="auto" w:sz="4" w:space="0"/>
              <w:left w:val="single" w:color="auto" w:sz="4" w:space="0"/>
              <w:bottom w:val="single" w:color="auto" w:sz="4" w:space="0"/>
              <w:right w:val="single" w:color="auto" w:sz="4" w:space="0"/>
            </w:tcBorders>
            <w:vAlign w:val="center"/>
          </w:tcPr>
          <w:p>
            <w:pPr>
              <w:snapToGrid w:val="0"/>
              <w:rPr>
                <w:rFonts w:ascii="宋体" w:hAnsi="宋体"/>
                <w:color w:val="000000" w:themeColor="text1"/>
                <w:szCs w:val="21"/>
              </w:rPr>
            </w:pPr>
            <w:r>
              <w:rPr>
                <w:rFonts w:hint="eastAsia" w:ascii="宋体" w:hAnsi="宋体"/>
                <w:color w:val="000000" w:themeColor="text1"/>
                <w:szCs w:val="21"/>
              </w:rPr>
              <w:sym w:font="Wingdings 2" w:char="00A3"/>
            </w:r>
            <w:r>
              <w:rPr>
                <w:rFonts w:ascii="宋体" w:hAnsi="宋体"/>
                <w:color w:val="000000" w:themeColor="text1"/>
                <w:szCs w:val="21"/>
              </w:rPr>
              <w:t xml:space="preserve">     </w:t>
            </w:r>
            <w:r>
              <w:rPr>
                <w:rFonts w:hint="eastAsia" w:ascii="宋体" w:hAnsi="宋体"/>
                <w:color w:val="000000" w:themeColor="text1"/>
                <w:szCs w:val="21"/>
              </w:rPr>
              <w:t xml:space="preserve">年 </w:t>
            </w:r>
            <w:r>
              <w:rPr>
                <w:rFonts w:ascii="宋体" w:hAnsi="宋体"/>
                <w:color w:val="000000" w:themeColor="text1"/>
                <w:szCs w:val="21"/>
              </w:rPr>
              <w:t xml:space="preserve">  </w:t>
            </w:r>
            <w:r>
              <w:rPr>
                <w:rFonts w:hint="eastAsia" w:ascii="宋体" w:hAnsi="宋体"/>
                <w:color w:val="000000" w:themeColor="text1"/>
                <w:szCs w:val="21"/>
              </w:rPr>
              <w:t xml:space="preserve">月至 </w:t>
            </w:r>
            <w:r>
              <w:rPr>
                <w:rFonts w:ascii="宋体" w:hAnsi="宋体"/>
                <w:color w:val="000000" w:themeColor="text1"/>
                <w:szCs w:val="21"/>
              </w:rPr>
              <w:t xml:space="preserve">    </w:t>
            </w:r>
            <w:r>
              <w:rPr>
                <w:rFonts w:hint="eastAsia" w:ascii="宋体" w:hAnsi="宋体"/>
                <w:color w:val="000000" w:themeColor="text1"/>
                <w:szCs w:val="21"/>
              </w:rPr>
              <w:t xml:space="preserve">年 </w:t>
            </w:r>
            <w:r>
              <w:rPr>
                <w:rFonts w:ascii="宋体" w:hAnsi="宋体"/>
                <w:color w:val="000000" w:themeColor="text1"/>
                <w:szCs w:val="21"/>
              </w:rPr>
              <w:t xml:space="preserve">  </w:t>
            </w:r>
            <w:r>
              <w:rPr>
                <w:rFonts w:hint="eastAsia" w:ascii="宋体" w:hAnsi="宋体"/>
                <w:color w:val="000000" w:themeColor="text1"/>
                <w:szCs w:val="21"/>
              </w:rPr>
              <w:t>月</w:t>
            </w:r>
          </w:p>
          <w:p>
            <w:pPr>
              <w:snapToGrid w:val="0"/>
              <w:rPr>
                <w:rFonts w:ascii="宋体" w:hAnsi="宋体"/>
                <w:color w:val="000000" w:themeColor="text1"/>
                <w:szCs w:val="21"/>
              </w:rPr>
            </w:pPr>
            <w:r>
              <w:rPr>
                <w:rFonts w:hint="eastAsia" w:ascii="宋体" w:hAnsi="宋体"/>
                <w:color w:val="000000" w:themeColor="text1"/>
                <w:szCs w:val="21"/>
              </w:rPr>
              <w:sym w:font="Wingdings 2" w:char="00A3"/>
            </w:r>
            <w:r>
              <w:rPr>
                <w:rFonts w:ascii="宋体" w:hAnsi="宋体"/>
                <w:color w:val="000000" w:themeColor="text1"/>
                <w:szCs w:val="21"/>
              </w:rPr>
              <w:t xml:space="preserve">     </w:t>
            </w:r>
            <w:r>
              <w:rPr>
                <w:rFonts w:hint="eastAsia" w:ascii="宋体" w:hAnsi="宋体"/>
                <w:color w:val="000000" w:themeColor="text1"/>
                <w:szCs w:val="21"/>
              </w:rPr>
              <w:t xml:space="preserve">年 </w:t>
            </w:r>
            <w:r>
              <w:rPr>
                <w:rFonts w:ascii="宋体" w:hAnsi="宋体"/>
                <w:color w:val="000000" w:themeColor="text1"/>
                <w:szCs w:val="21"/>
              </w:rPr>
              <w:t xml:space="preserve">  </w:t>
            </w:r>
            <w:r>
              <w:rPr>
                <w:rFonts w:hint="eastAsia" w:ascii="宋体" w:hAnsi="宋体"/>
                <w:color w:val="000000" w:themeColor="text1"/>
                <w:szCs w:val="21"/>
              </w:rPr>
              <w:t>月至业委会组建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805"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olor w:val="000000" w:themeColor="text1"/>
              </w:rPr>
            </w:pPr>
            <w:r>
              <w:rPr>
                <w:rFonts w:hint="eastAsia" w:ascii="宋体" w:hAnsi="宋体"/>
                <w:color w:val="000000" w:themeColor="text1"/>
              </w:rPr>
              <w:t>物业服务企业</w:t>
            </w:r>
          </w:p>
          <w:p>
            <w:pPr>
              <w:snapToGrid w:val="0"/>
              <w:jc w:val="center"/>
              <w:rPr>
                <w:rFonts w:ascii="宋体" w:hAnsi="宋体"/>
                <w:color w:val="000000" w:themeColor="text1"/>
              </w:rPr>
            </w:pPr>
            <w:r>
              <w:rPr>
                <w:rFonts w:hint="eastAsia" w:ascii="宋体" w:hAnsi="宋体"/>
                <w:color w:val="000000" w:themeColor="text1"/>
              </w:rPr>
              <w:t>选聘方式</w:t>
            </w:r>
          </w:p>
        </w:tc>
        <w:tc>
          <w:tcPr>
            <w:tcW w:w="4257" w:type="dxa"/>
            <w:gridSpan w:val="2"/>
            <w:tcBorders>
              <w:top w:val="single" w:color="auto" w:sz="4" w:space="0"/>
              <w:left w:val="single" w:color="auto" w:sz="4" w:space="0"/>
              <w:bottom w:val="single" w:color="auto" w:sz="4" w:space="0"/>
              <w:right w:val="single" w:color="auto" w:sz="4" w:space="0"/>
            </w:tcBorders>
            <w:vAlign w:val="center"/>
          </w:tcPr>
          <w:p>
            <w:pPr>
              <w:snapToGrid w:val="0"/>
              <w:ind w:firstLine="210" w:firstLineChars="100"/>
              <w:rPr>
                <w:rFonts w:ascii="宋体" w:hAnsi="宋体"/>
                <w:color w:val="000000" w:themeColor="text1"/>
              </w:rPr>
            </w:pPr>
            <w:r>
              <w:rPr>
                <w:rFonts w:hint="eastAsia" w:ascii="宋体" w:hAnsi="宋体"/>
                <w:color w:val="000000" w:themeColor="text1"/>
              </w:rPr>
              <w:t>□协议方式</w:t>
            </w:r>
          </w:p>
          <w:p>
            <w:pPr>
              <w:autoSpaceDE w:val="0"/>
              <w:autoSpaceDN w:val="0"/>
              <w:adjustRightInd w:val="0"/>
              <w:snapToGrid w:val="0"/>
              <w:ind w:firstLine="210" w:firstLineChars="100"/>
              <w:rPr>
                <w:rFonts w:ascii="宋体" w:hAnsi="宋体"/>
                <w:color w:val="000000" w:themeColor="text1"/>
              </w:rPr>
            </w:pPr>
            <w:r>
              <w:rPr>
                <w:rFonts w:hint="eastAsia" w:ascii="宋体" w:hAnsi="宋体"/>
                <w:color w:val="000000" w:themeColor="text1"/>
              </w:rPr>
              <w:t>□招投标方式</w:t>
            </w:r>
          </w:p>
        </w:tc>
        <w:tc>
          <w:tcPr>
            <w:tcW w:w="3141" w:type="dxa"/>
            <w:gridSpan w:val="4"/>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jc w:val="center"/>
              <w:rPr>
                <w:rFonts w:ascii="宋体" w:hAnsi="宋体"/>
                <w:color w:val="000000" w:themeColor="text1"/>
              </w:rPr>
            </w:pPr>
            <w:r>
              <w:rPr>
                <w:rFonts w:hint="eastAsia" w:ascii="宋体" w:hAnsi="宋体"/>
                <w:color w:val="000000" w:themeColor="text1"/>
              </w:rPr>
              <w:t>业主入住时间</w:t>
            </w:r>
          </w:p>
        </w:tc>
        <w:tc>
          <w:tcPr>
            <w:tcW w:w="5396"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ind w:firstLine="840" w:firstLineChars="400"/>
              <w:jc w:val="left"/>
              <w:rPr>
                <w:rFonts w:ascii="宋体" w:hAnsi="宋体"/>
                <w:color w:val="000000" w:themeColor="text1"/>
              </w:rPr>
            </w:pPr>
            <w:r>
              <w:rPr>
                <w:rFonts w:hint="eastAsia" w:ascii="宋体" w:hAnsi="宋体"/>
                <w:color w:val="000000" w:themeColor="text1"/>
              </w:rPr>
              <w:t xml:space="preserve">年 </w:t>
            </w:r>
            <w:r>
              <w:rPr>
                <w:rFonts w:ascii="宋体" w:hAnsi="宋体"/>
                <w:color w:val="000000" w:themeColor="text1"/>
              </w:rPr>
              <w:t xml:space="preserve">    </w:t>
            </w:r>
            <w:r>
              <w:rPr>
                <w:rFonts w:hint="eastAsia" w:ascii="宋体" w:hAnsi="宋体"/>
                <w:color w:val="000000" w:themeColor="text1"/>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1805"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olor w:val="000000" w:themeColor="text1"/>
                <w:szCs w:val="21"/>
              </w:rPr>
            </w:pPr>
            <w:r>
              <w:rPr>
                <w:rFonts w:hint="eastAsia" w:ascii="宋体" w:hAnsi="宋体"/>
                <w:color w:val="000000" w:themeColor="text1"/>
                <w:szCs w:val="21"/>
              </w:rPr>
              <w:t>是否成立</w:t>
            </w:r>
          </w:p>
          <w:p>
            <w:pPr>
              <w:snapToGrid w:val="0"/>
              <w:jc w:val="center"/>
              <w:rPr>
                <w:rFonts w:ascii="宋体" w:hAnsi="宋体"/>
                <w:color w:val="000000" w:themeColor="text1"/>
                <w:szCs w:val="21"/>
              </w:rPr>
            </w:pPr>
            <w:r>
              <w:rPr>
                <w:rFonts w:hint="eastAsia" w:ascii="宋体" w:hAnsi="宋体"/>
                <w:color w:val="000000" w:themeColor="text1"/>
                <w:szCs w:val="21"/>
              </w:rPr>
              <w:t>业主大会</w:t>
            </w:r>
          </w:p>
        </w:tc>
        <w:tc>
          <w:tcPr>
            <w:tcW w:w="4257"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olor w:val="000000" w:themeColor="text1"/>
                <w:szCs w:val="21"/>
              </w:rPr>
            </w:pPr>
            <w:r>
              <w:rPr>
                <w:rFonts w:hint="eastAsia" w:ascii="宋体" w:hAnsi="宋体"/>
                <w:color w:val="000000" w:themeColor="text1"/>
                <w:szCs w:val="21"/>
              </w:rPr>
              <w:t>□是</w:t>
            </w:r>
          </w:p>
          <w:p>
            <w:pPr>
              <w:autoSpaceDE w:val="0"/>
              <w:autoSpaceDN w:val="0"/>
              <w:adjustRightInd w:val="0"/>
              <w:snapToGrid w:val="0"/>
              <w:jc w:val="center"/>
              <w:rPr>
                <w:rFonts w:ascii="宋体" w:hAnsi="宋体"/>
                <w:color w:val="000000" w:themeColor="text1"/>
                <w:szCs w:val="21"/>
              </w:rPr>
            </w:pPr>
            <w:r>
              <w:rPr>
                <w:rFonts w:hint="eastAsia" w:ascii="宋体" w:hAnsi="宋体"/>
                <w:color w:val="000000" w:themeColor="text1"/>
                <w:szCs w:val="21"/>
              </w:rPr>
              <w:t>□否</w:t>
            </w:r>
          </w:p>
        </w:tc>
        <w:tc>
          <w:tcPr>
            <w:tcW w:w="3141" w:type="dxa"/>
            <w:gridSpan w:val="4"/>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jc w:val="center"/>
              <w:rPr>
                <w:rFonts w:ascii="宋体" w:hAnsi="宋体"/>
                <w:color w:val="000000" w:themeColor="text1"/>
                <w:szCs w:val="21"/>
              </w:rPr>
            </w:pPr>
            <w:r>
              <w:rPr>
                <w:rFonts w:hint="eastAsia" w:ascii="宋体" w:hAnsi="宋体"/>
                <w:color w:val="000000" w:themeColor="text1"/>
                <w:szCs w:val="21"/>
              </w:rPr>
              <w:t>合同备案时间</w:t>
            </w:r>
          </w:p>
        </w:tc>
        <w:tc>
          <w:tcPr>
            <w:tcW w:w="5396"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ind w:firstLine="840" w:firstLineChars="400"/>
              <w:jc w:val="left"/>
              <w:rPr>
                <w:rFonts w:ascii="宋体" w:hAnsi="宋体"/>
                <w:color w:val="000000" w:themeColor="text1"/>
                <w:szCs w:val="21"/>
              </w:rPr>
            </w:pPr>
            <w:r>
              <w:rPr>
                <w:rFonts w:hint="eastAsia" w:ascii="宋体" w:hAnsi="宋体"/>
                <w:color w:val="000000" w:themeColor="text1"/>
              </w:rPr>
              <w:t xml:space="preserve">年 </w:t>
            </w:r>
            <w:r>
              <w:rPr>
                <w:rFonts w:ascii="宋体" w:hAnsi="宋体"/>
                <w:color w:val="000000" w:themeColor="text1"/>
              </w:rPr>
              <w:t xml:space="preserve">    </w:t>
            </w:r>
            <w:r>
              <w:rPr>
                <w:rFonts w:hint="eastAsia" w:ascii="宋体" w:hAnsi="宋体"/>
                <w:color w:val="000000" w:themeColor="text1"/>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599" w:type="dxa"/>
            <w:gridSpan w:val="9"/>
            <w:tcBorders>
              <w:top w:val="single" w:color="auto" w:sz="4" w:space="0"/>
              <w:left w:val="single" w:color="auto" w:sz="4" w:space="0"/>
              <w:bottom w:val="single" w:color="auto" w:sz="4" w:space="0"/>
              <w:right w:val="single" w:color="auto" w:sz="4" w:space="0"/>
            </w:tcBorders>
            <w:vAlign w:val="center"/>
          </w:tcPr>
          <w:p>
            <w:pPr>
              <w:snapToGrid w:val="0"/>
              <w:spacing w:beforeLines="50"/>
              <w:rPr>
                <w:rFonts w:ascii="宋体" w:hAnsi="宋体"/>
                <w:color w:val="000000" w:themeColor="text1"/>
                <w:szCs w:val="21"/>
              </w:rPr>
            </w:pPr>
            <w:r>
              <w:rPr>
                <w:rFonts w:hint="eastAsia" w:ascii="宋体" w:hAnsi="宋体"/>
                <w:color w:val="000000" w:themeColor="text1"/>
                <w:szCs w:val="21"/>
              </w:rPr>
              <w:t>小区的其他情况：</w:t>
            </w:r>
          </w:p>
          <w:p>
            <w:pPr>
              <w:snapToGrid w:val="0"/>
              <w:rPr>
                <w:rFonts w:ascii="宋体" w:hAnsi="宋体"/>
                <w:color w:val="000000" w:themeColor="text1"/>
                <w:szCs w:val="21"/>
              </w:rPr>
            </w:pPr>
          </w:p>
          <w:p>
            <w:pPr>
              <w:snapToGrid w:val="0"/>
              <w:rPr>
                <w:rFonts w:ascii="宋体" w:hAnsi="宋体"/>
                <w:color w:val="000000" w:themeColor="text1"/>
                <w:szCs w:val="21"/>
              </w:rPr>
            </w:pPr>
          </w:p>
          <w:p>
            <w:pPr>
              <w:snapToGrid w:val="0"/>
              <w:rPr>
                <w:rFonts w:ascii="宋体" w:hAnsi="宋体"/>
                <w:color w:val="000000" w:themeColor="text1"/>
                <w:szCs w:val="21"/>
              </w:rPr>
            </w:pPr>
          </w:p>
          <w:p>
            <w:pPr>
              <w:snapToGrid w:val="0"/>
              <w:rPr>
                <w:rFonts w:ascii="宋体" w:hAnsi="宋体"/>
                <w:color w:val="000000" w:themeColor="text1"/>
                <w:szCs w:val="21"/>
              </w:rPr>
            </w:pPr>
          </w:p>
          <w:p>
            <w:pPr>
              <w:snapToGrid w:val="0"/>
              <w:rPr>
                <w:rFonts w:ascii="宋体" w:hAnsi="宋体"/>
                <w:color w:val="000000" w:themeColor="text1"/>
                <w:szCs w:val="21"/>
              </w:rPr>
            </w:pPr>
          </w:p>
          <w:p>
            <w:pPr>
              <w:snapToGrid w:val="0"/>
              <w:rPr>
                <w:rFonts w:ascii="宋体" w:hAnsi="宋体"/>
                <w:color w:val="000000" w:themeColor="text1"/>
                <w:szCs w:val="21"/>
              </w:rPr>
            </w:pPr>
          </w:p>
          <w:p>
            <w:pPr>
              <w:snapToGrid w:val="0"/>
              <w:rPr>
                <w:rFonts w:ascii="宋体" w:hAnsi="宋体"/>
                <w:color w:val="000000" w:themeColor="text1"/>
                <w:szCs w:val="21"/>
              </w:rPr>
            </w:pPr>
          </w:p>
          <w:p>
            <w:pPr>
              <w:snapToGrid w:val="0"/>
              <w:rPr>
                <w:rFonts w:ascii="宋体" w:hAnsi="宋体"/>
                <w:color w:val="000000" w:themeColor="text1"/>
                <w:szCs w:val="21"/>
              </w:rPr>
            </w:pPr>
          </w:p>
          <w:p>
            <w:pPr>
              <w:snapToGrid w:val="0"/>
              <w:rPr>
                <w:rFonts w:ascii="宋体" w:hAnsi="宋体"/>
                <w:color w:val="000000" w:themeColor="text1"/>
                <w:szCs w:val="21"/>
              </w:rPr>
            </w:pPr>
          </w:p>
          <w:p>
            <w:pPr>
              <w:snapToGrid w:val="0"/>
              <w:rPr>
                <w:rFonts w:ascii="宋体" w:hAnsi="宋体"/>
                <w:color w:val="000000" w:themeColor="text1"/>
                <w:szCs w:val="21"/>
              </w:rPr>
            </w:pPr>
          </w:p>
          <w:p>
            <w:pPr>
              <w:snapToGrid w:val="0"/>
              <w:rPr>
                <w:rFonts w:ascii="宋体" w:hAnsi="宋体"/>
                <w:color w:val="000000" w:themeColor="text1"/>
                <w:szCs w:val="21"/>
              </w:rPr>
            </w:pPr>
          </w:p>
          <w:p>
            <w:pPr>
              <w:snapToGrid w:val="0"/>
              <w:rPr>
                <w:rFonts w:ascii="宋体" w:hAnsi="宋体"/>
                <w:color w:val="000000" w:themeColor="text1"/>
                <w:szCs w:val="21"/>
              </w:rPr>
            </w:pPr>
          </w:p>
          <w:p>
            <w:pPr>
              <w:snapToGrid w:val="0"/>
              <w:rPr>
                <w:rFonts w:ascii="宋体" w:hAnsi="宋体"/>
                <w:color w:val="000000" w:themeColor="text1"/>
                <w:szCs w:val="21"/>
              </w:rPr>
            </w:pPr>
          </w:p>
          <w:p>
            <w:pPr>
              <w:snapToGrid w:val="0"/>
              <w:rPr>
                <w:rFonts w:ascii="宋体" w:hAnsi="宋体"/>
                <w:color w:val="000000" w:themeColor="text1"/>
                <w:szCs w:val="21"/>
              </w:rPr>
            </w:pPr>
          </w:p>
          <w:p>
            <w:pPr>
              <w:snapToGrid w:val="0"/>
              <w:rPr>
                <w:rFonts w:ascii="宋体" w:hAnsi="宋体"/>
                <w:color w:val="000000" w:themeColor="text1"/>
                <w:szCs w:val="21"/>
              </w:rPr>
            </w:pPr>
          </w:p>
          <w:p>
            <w:pPr>
              <w:snapToGrid w:val="0"/>
              <w:rPr>
                <w:rFonts w:ascii="宋体" w:hAnsi="宋体"/>
                <w:color w:val="000000" w:themeColor="text1"/>
                <w:szCs w:val="21"/>
              </w:rPr>
            </w:pPr>
          </w:p>
          <w:p>
            <w:pPr>
              <w:snapToGrid w:val="0"/>
              <w:rPr>
                <w:rFonts w:ascii="宋体" w:hAnsi="宋体"/>
                <w:color w:val="000000" w:themeColor="text1"/>
                <w:szCs w:val="21"/>
              </w:rPr>
            </w:pPr>
          </w:p>
          <w:p>
            <w:pPr>
              <w:snapToGrid w:val="0"/>
              <w:rPr>
                <w:rFonts w:ascii="宋体" w:hAnsi="宋体"/>
                <w:color w:val="000000" w:themeColor="text1"/>
                <w:szCs w:val="21"/>
              </w:rPr>
            </w:pPr>
          </w:p>
          <w:p>
            <w:pPr>
              <w:snapToGrid w:val="0"/>
              <w:rPr>
                <w:rFonts w:ascii="宋体" w:hAnsi="宋体"/>
                <w:color w:val="000000" w:themeColor="text1"/>
                <w:szCs w:val="21"/>
              </w:rPr>
            </w:pPr>
          </w:p>
          <w:p>
            <w:pPr>
              <w:snapToGrid w:val="0"/>
              <w:rPr>
                <w:rFonts w:ascii="宋体" w:hAnsi="宋体"/>
                <w:color w:val="000000" w:themeColor="text1"/>
                <w:szCs w:val="21"/>
              </w:rPr>
            </w:pPr>
          </w:p>
          <w:p>
            <w:pPr>
              <w:snapToGrid w:val="0"/>
              <w:rPr>
                <w:rFonts w:ascii="宋体" w:hAnsi="宋体"/>
                <w:color w:val="000000" w:themeColor="text1"/>
                <w:szCs w:val="21"/>
              </w:rPr>
            </w:pPr>
          </w:p>
          <w:p>
            <w:pPr>
              <w:snapToGrid w:val="0"/>
              <w:rPr>
                <w:rFonts w:ascii="宋体" w:hAnsi="宋体"/>
                <w:color w:val="000000" w:themeColor="text1"/>
                <w:szCs w:val="21"/>
              </w:rPr>
            </w:pPr>
          </w:p>
          <w:p>
            <w:pPr>
              <w:snapToGrid w:val="0"/>
              <w:rPr>
                <w:rFonts w:ascii="宋体" w:hAnsi="宋体"/>
                <w:color w:val="000000" w:themeColor="text1"/>
                <w:szCs w:val="21"/>
              </w:rPr>
            </w:pPr>
          </w:p>
          <w:p>
            <w:pPr>
              <w:autoSpaceDE w:val="0"/>
              <w:autoSpaceDN w:val="0"/>
              <w:adjustRightInd w:val="0"/>
              <w:snapToGrid w:val="0"/>
              <w:jc w:val="center"/>
              <w:rPr>
                <w:rFonts w:ascii="宋体" w:hAnsi="宋体"/>
                <w:color w:val="000000" w:themeColor="text1"/>
                <w:szCs w:val="21"/>
              </w:rPr>
            </w:pPr>
          </w:p>
        </w:tc>
      </w:tr>
    </w:tbl>
    <w:p>
      <w:pPr>
        <w:snapToGrid w:val="0"/>
        <w:spacing w:line="20" w:lineRule="exact"/>
      </w:pPr>
      <w:r>
        <w:rPr>
          <w:rFonts w:ascii="方正小标宋_GBK" w:hAnsi="方正小标宋_GBK" w:eastAsia="方正小标宋_GBK" w:cs="方正小标宋_GBK"/>
          <w:color w:val="000000" w:themeColor="text1"/>
          <w:kern w:val="0"/>
          <w:sz w:val="44"/>
          <w:szCs w:val="44"/>
        </w:rPr>
        <w:br w:type="column"/>
      </w:r>
    </w:p>
    <w:tbl>
      <w:tblPr>
        <w:tblStyle w:val="26"/>
        <w:tblW w:w="13608" w:type="dxa"/>
        <w:jc w:val="center"/>
        <w:tblLayout w:type="fixed"/>
        <w:tblCellMar>
          <w:top w:w="0" w:type="dxa"/>
          <w:left w:w="108" w:type="dxa"/>
          <w:bottom w:w="0" w:type="dxa"/>
          <w:right w:w="108" w:type="dxa"/>
        </w:tblCellMar>
      </w:tblPr>
      <w:tblGrid>
        <w:gridCol w:w="433"/>
        <w:gridCol w:w="1038"/>
        <w:gridCol w:w="1489"/>
        <w:gridCol w:w="1379"/>
        <w:gridCol w:w="3042"/>
        <w:gridCol w:w="1038"/>
        <w:gridCol w:w="646"/>
        <w:gridCol w:w="761"/>
        <w:gridCol w:w="726"/>
        <w:gridCol w:w="1466"/>
        <w:gridCol w:w="461"/>
        <w:gridCol w:w="357"/>
        <w:gridCol w:w="415"/>
        <w:gridCol w:w="357"/>
      </w:tblGrid>
      <w:tr>
        <w:tblPrEx>
          <w:tblCellMar>
            <w:top w:w="0" w:type="dxa"/>
            <w:left w:w="108" w:type="dxa"/>
            <w:bottom w:w="0" w:type="dxa"/>
            <w:right w:w="108" w:type="dxa"/>
          </w:tblCellMar>
        </w:tblPrEx>
        <w:trPr>
          <w:jc w:val="center"/>
        </w:trPr>
        <w:tc>
          <w:tcPr>
            <w:tcW w:w="14669" w:type="dxa"/>
            <w:gridSpan w:val="14"/>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pStyle w:val="5"/>
              <w:jc w:val="center"/>
              <w:rPr>
                <w:rFonts w:ascii="宋体" w:eastAsia="宋体" w:cs="宋体"/>
                <w:color w:val="000000" w:themeColor="text1"/>
                <w:sz w:val="20"/>
                <w:szCs w:val="20"/>
              </w:rPr>
            </w:pPr>
            <w:bookmarkStart w:id="181" w:name="_Toc150435303"/>
            <w:r>
              <w:rPr>
                <w:rFonts w:hint="eastAsia"/>
                <w:color w:val="000000" w:themeColor="text1"/>
              </w:rPr>
              <w:t>物业管理方面</w:t>
            </w:r>
            <w:bookmarkEnd w:id="181"/>
          </w:p>
        </w:tc>
      </w:tr>
      <w:tr>
        <w:tblPrEx>
          <w:tblCellMar>
            <w:top w:w="0" w:type="dxa"/>
            <w:left w:w="108" w:type="dxa"/>
            <w:bottom w:w="0" w:type="dxa"/>
            <w:right w:w="108" w:type="dxa"/>
          </w:tblCellMar>
        </w:tblPrEx>
        <w:trPr>
          <w:jc w:val="center"/>
        </w:trPr>
        <w:tc>
          <w:tcPr>
            <w:tcW w:w="452"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snapToGrid w:val="0"/>
              <w:jc w:val="center"/>
              <w:textAlignment w:val="center"/>
              <w:rPr>
                <w:rFonts w:ascii="黑体" w:hAnsi="宋体" w:eastAsia="黑体" w:cs="黑体"/>
                <w:color w:val="000000" w:themeColor="text1"/>
                <w:szCs w:val="21"/>
              </w:rPr>
            </w:pPr>
            <w:r>
              <w:rPr>
                <w:rFonts w:hint="eastAsia" w:ascii="黑体" w:hAnsi="宋体" w:eastAsia="黑体" w:cs="黑体"/>
                <w:color w:val="000000" w:themeColor="text1"/>
                <w:kern w:val="0"/>
                <w:szCs w:val="21"/>
              </w:rPr>
              <w:t>序号</w:t>
            </w:r>
          </w:p>
        </w:tc>
        <w:tc>
          <w:tcPr>
            <w:tcW w:w="1121"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snapToGrid w:val="0"/>
              <w:jc w:val="center"/>
              <w:textAlignment w:val="center"/>
              <w:rPr>
                <w:rFonts w:ascii="黑体" w:hAnsi="宋体" w:eastAsia="黑体" w:cs="黑体"/>
                <w:color w:val="000000" w:themeColor="text1"/>
                <w:szCs w:val="21"/>
              </w:rPr>
            </w:pPr>
            <w:r>
              <w:rPr>
                <w:rFonts w:hint="eastAsia" w:ascii="黑体" w:hAnsi="宋体" w:eastAsia="黑体" w:cs="黑体"/>
                <w:color w:val="000000" w:themeColor="text1"/>
                <w:kern w:val="0"/>
                <w:szCs w:val="21"/>
              </w:rPr>
              <w:t>检查事项</w:t>
            </w:r>
          </w:p>
        </w:tc>
        <w:tc>
          <w:tcPr>
            <w:tcW w:w="1618"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snapToGrid w:val="0"/>
              <w:jc w:val="center"/>
              <w:textAlignment w:val="center"/>
              <w:rPr>
                <w:rFonts w:ascii="黑体" w:hAnsi="宋体" w:eastAsia="黑体" w:cs="黑体"/>
                <w:color w:val="000000" w:themeColor="text1"/>
                <w:szCs w:val="21"/>
              </w:rPr>
            </w:pPr>
            <w:r>
              <w:rPr>
                <w:rFonts w:hint="eastAsia" w:ascii="黑体" w:hAnsi="宋体" w:eastAsia="黑体" w:cs="黑体"/>
                <w:color w:val="000000" w:themeColor="text1"/>
                <w:kern w:val="0"/>
                <w:szCs w:val="21"/>
              </w:rPr>
              <w:t>检查子事项</w:t>
            </w:r>
          </w:p>
        </w:tc>
        <w:tc>
          <w:tcPr>
            <w:tcW w:w="1497"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snapToGrid w:val="0"/>
              <w:jc w:val="center"/>
              <w:textAlignment w:val="center"/>
              <w:rPr>
                <w:rFonts w:ascii="黑体" w:hAnsi="宋体" w:eastAsia="黑体" w:cs="黑体"/>
                <w:color w:val="000000" w:themeColor="text1"/>
                <w:szCs w:val="21"/>
              </w:rPr>
            </w:pPr>
            <w:r>
              <w:rPr>
                <w:rFonts w:hint="eastAsia" w:ascii="黑体" w:hAnsi="宋体" w:eastAsia="黑体" w:cs="黑体"/>
                <w:color w:val="000000" w:themeColor="text1"/>
                <w:kern w:val="0"/>
                <w:szCs w:val="21"/>
              </w:rPr>
              <w:t>检查内容</w:t>
            </w:r>
          </w:p>
        </w:tc>
        <w:tc>
          <w:tcPr>
            <w:tcW w:w="3331"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snapToGrid w:val="0"/>
              <w:jc w:val="center"/>
              <w:textAlignment w:val="center"/>
              <w:rPr>
                <w:rFonts w:ascii="黑体" w:hAnsi="宋体" w:eastAsia="黑体" w:cs="黑体"/>
                <w:color w:val="000000" w:themeColor="text1"/>
                <w:szCs w:val="21"/>
              </w:rPr>
            </w:pPr>
            <w:r>
              <w:rPr>
                <w:rFonts w:hint="eastAsia" w:ascii="黑体" w:hAnsi="宋体" w:eastAsia="黑体" w:cs="黑体"/>
                <w:color w:val="000000" w:themeColor="text1"/>
                <w:kern w:val="0"/>
                <w:szCs w:val="21"/>
              </w:rPr>
              <w:t>合格标准</w:t>
            </w:r>
          </w:p>
        </w:tc>
        <w:tc>
          <w:tcPr>
            <w:tcW w:w="1121"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snapToGrid w:val="0"/>
              <w:jc w:val="center"/>
              <w:textAlignment w:val="center"/>
              <w:rPr>
                <w:rFonts w:ascii="黑体" w:hAnsi="宋体" w:eastAsia="黑体" w:cs="黑体"/>
                <w:color w:val="000000" w:themeColor="text1"/>
                <w:szCs w:val="21"/>
              </w:rPr>
            </w:pPr>
            <w:r>
              <w:rPr>
                <w:rFonts w:hint="eastAsia" w:ascii="黑体" w:hAnsi="宋体" w:eastAsia="黑体" w:cs="黑体"/>
                <w:color w:val="000000" w:themeColor="text1"/>
                <w:kern w:val="0"/>
                <w:szCs w:val="21"/>
              </w:rPr>
              <w:t>标准对应的依据</w:t>
            </w:r>
          </w:p>
        </w:tc>
        <w:tc>
          <w:tcPr>
            <w:tcW w:w="688"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snapToGrid w:val="0"/>
              <w:jc w:val="center"/>
              <w:textAlignment w:val="center"/>
              <w:rPr>
                <w:rFonts w:ascii="黑体" w:hAnsi="宋体" w:eastAsia="黑体" w:cs="黑体"/>
                <w:color w:val="000000" w:themeColor="text1"/>
                <w:szCs w:val="21"/>
              </w:rPr>
            </w:pPr>
            <w:r>
              <w:rPr>
                <w:rFonts w:hint="eastAsia" w:ascii="黑体" w:hAnsi="宋体" w:eastAsia="黑体" w:cs="黑体"/>
                <w:color w:val="000000" w:themeColor="text1"/>
                <w:kern w:val="0"/>
                <w:szCs w:val="21"/>
              </w:rPr>
              <w:t>监管部门</w:t>
            </w:r>
          </w:p>
        </w:tc>
        <w:tc>
          <w:tcPr>
            <w:tcW w:w="815"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snapToGrid w:val="0"/>
              <w:jc w:val="center"/>
              <w:textAlignment w:val="center"/>
              <w:rPr>
                <w:rFonts w:ascii="黑体" w:hAnsi="宋体" w:eastAsia="黑体" w:cs="黑体"/>
                <w:color w:val="000000" w:themeColor="text1"/>
                <w:szCs w:val="21"/>
              </w:rPr>
            </w:pPr>
            <w:r>
              <w:rPr>
                <w:rFonts w:hint="eastAsia" w:ascii="黑体" w:hAnsi="宋体" w:eastAsia="黑体" w:cs="黑体"/>
                <w:color w:val="000000" w:themeColor="text1"/>
                <w:kern w:val="0"/>
                <w:szCs w:val="21"/>
              </w:rPr>
              <w:t>检查层级</w:t>
            </w:r>
          </w:p>
        </w:tc>
        <w:tc>
          <w:tcPr>
            <w:tcW w:w="777"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snapToGrid w:val="0"/>
              <w:jc w:val="center"/>
              <w:textAlignment w:val="center"/>
              <w:rPr>
                <w:rFonts w:ascii="黑体" w:hAnsi="宋体" w:eastAsia="黑体" w:cs="黑体"/>
                <w:color w:val="000000" w:themeColor="text1"/>
                <w:szCs w:val="21"/>
              </w:rPr>
            </w:pPr>
            <w:r>
              <w:rPr>
                <w:rFonts w:hint="eastAsia" w:ascii="黑体" w:hAnsi="宋体" w:eastAsia="黑体" w:cs="黑体"/>
                <w:color w:val="000000" w:themeColor="text1"/>
                <w:kern w:val="0"/>
                <w:szCs w:val="21"/>
              </w:rPr>
              <w:t>检查方法</w:t>
            </w:r>
          </w:p>
        </w:tc>
        <w:tc>
          <w:tcPr>
            <w:tcW w:w="1593"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snapToGrid w:val="0"/>
              <w:jc w:val="center"/>
              <w:textAlignment w:val="center"/>
              <w:rPr>
                <w:rFonts w:ascii="黑体" w:hAnsi="宋体" w:eastAsia="黑体" w:cs="黑体"/>
                <w:color w:val="000000" w:themeColor="text1"/>
                <w:szCs w:val="21"/>
              </w:rPr>
            </w:pPr>
            <w:r>
              <w:rPr>
                <w:rFonts w:hint="eastAsia" w:ascii="黑体" w:hAnsi="宋体" w:eastAsia="黑体" w:cs="黑体"/>
                <w:color w:val="000000" w:themeColor="text1"/>
                <w:kern w:val="0"/>
                <w:szCs w:val="21"/>
              </w:rPr>
              <w:t>检查结果</w:t>
            </w:r>
          </w:p>
        </w:tc>
        <w:tc>
          <w:tcPr>
            <w:tcW w:w="1656" w:type="dxa"/>
            <w:gridSpan w:val="4"/>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snapToGrid w:val="0"/>
              <w:jc w:val="center"/>
              <w:textAlignment w:val="center"/>
              <w:rPr>
                <w:rFonts w:ascii="宋体" w:hAnsi="宋体" w:eastAsia="宋体" w:cs="宋体"/>
                <w:b/>
                <w:bCs/>
                <w:color w:val="000000" w:themeColor="text1"/>
                <w:sz w:val="20"/>
                <w:szCs w:val="20"/>
              </w:rPr>
            </w:pPr>
            <w:r>
              <w:rPr>
                <w:rFonts w:ascii="宋体" w:hAnsi="宋体" w:eastAsia="宋体" w:cs="宋体"/>
                <w:b/>
                <w:bCs/>
                <w:color w:val="000000" w:themeColor="text1"/>
                <w:kern w:val="0"/>
                <w:sz w:val="20"/>
                <w:szCs w:val="20"/>
              </w:rPr>
              <w:t>检查项分级标注</w:t>
            </w:r>
          </w:p>
        </w:tc>
      </w:tr>
      <w:tr>
        <w:tblPrEx>
          <w:tblCellMar>
            <w:top w:w="0" w:type="dxa"/>
            <w:left w:w="108" w:type="dxa"/>
            <w:bottom w:w="0" w:type="dxa"/>
            <w:right w:w="108" w:type="dxa"/>
          </w:tblCellMar>
        </w:tblPrEx>
        <w:trPr>
          <w:jc w:val="center"/>
        </w:trPr>
        <w:tc>
          <w:tcPr>
            <w:tcW w:w="452"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snapToGrid w:val="0"/>
              <w:jc w:val="center"/>
              <w:rPr>
                <w:rFonts w:ascii="黑体" w:hAnsi="宋体" w:eastAsia="黑体" w:cs="黑体"/>
                <w:color w:val="000000" w:themeColor="text1"/>
                <w:szCs w:val="21"/>
              </w:rPr>
            </w:pPr>
          </w:p>
        </w:tc>
        <w:tc>
          <w:tcPr>
            <w:tcW w:w="1121"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snapToGrid w:val="0"/>
              <w:jc w:val="center"/>
              <w:rPr>
                <w:rFonts w:ascii="黑体" w:hAnsi="宋体" w:eastAsia="黑体" w:cs="黑体"/>
                <w:color w:val="000000" w:themeColor="text1"/>
                <w:szCs w:val="21"/>
              </w:rPr>
            </w:pPr>
          </w:p>
        </w:tc>
        <w:tc>
          <w:tcPr>
            <w:tcW w:w="1618"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snapToGrid w:val="0"/>
              <w:jc w:val="center"/>
              <w:rPr>
                <w:rFonts w:ascii="黑体" w:hAnsi="宋体" w:eastAsia="黑体" w:cs="黑体"/>
                <w:color w:val="000000" w:themeColor="text1"/>
                <w:szCs w:val="21"/>
              </w:rPr>
            </w:pPr>
          </w:p>
        </w:tc>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snapToGrid w:val="0"/>
              <w:jc w:val="center"/>
              <w:rPr>
                <w:rFonts w:ascii="黑体" w:hAnsi="宋体" w:eastAsia="黑体" w:cs="黑体"/>
                <w:color w:val="000000" w:themeColor="text1"/>
                <w:szCs w:val="21"/>
              </w:rPr>
            </w:pPr>
          </w:p>
        </w:tc>
        <w:tc>
          <w:tcPr>
            <w:tcW w:w="3331"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snapToGrid w:val="0"/>
              <w:jc w:val="center"/>
              <w:rPr>
                <w:rFonts w:ascii="黑体" w:hAnsi="宋体" w:eastAsia="黑体" w:cs="黑体"/>
                <w:color w:val="000000" w:themeColor="text1"/>
                <w:szCs w:val="21"/>
              </w:rPr>
            </w:pPr>
          </w:p>
        </w:tc>
        <w:tc>
          <w:tcPr>
            <w:tcW w:w="1121"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snapToGrid w:val="0"/>
              <w:jc w:val="center"/>
              <w:rPr>
                <w:rFonts w:ascii="黑体" w:hAnsi="宋体" w:eastAsia="黑体" w:cs="黑体"/>
                <w:color w:val="000000" w:themeColor="text1"/>
                <w:szCs w:val="21"/>
              </w:rPr>
            </w:pPr>
          </w:p>
        </w:tc>
        <w:tc>
          <w:tcPr>
            <w:tcW w:w="688"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snapToGrid w:val="0"/>
              <w:jc w:val="center"/>
              <w:rPr>
                <w:rFonts w:ascii="黑体" w:hAnsi="宋体" w:eastAsia="黑体" w:cs="黑体"/>
                <w:color w:val="000000" w:themeColor="text1"/>
                <w:szCs w:val="21"/>
              </w:rPr>
            </w:pPr>
          </w:p>
        </w:tc>
        <w:tc>
          <w:tcPr>
            <w:tcW w:w="815"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snapToGrid w:val="0"/>
              <w:jc w:val="center"/>
              <w:rPr>
                <w:rFonts w:ascii="黑体" w:hAnsi="宋体" w:eastAsia="黑体" w:cs="黑体"/>
                <w:color w:val="000000" w:themeColor="text1"/>
                <w:szCs w:val="21"/>
              </w:rPr>
            </w:pPr>
          </w:p>
        </w:tc>
        <w:tc>
          <w:tcPr>
            <w:tcW w:w="777"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snapToGrid w:val="0"/>
              <w:jc w:val="center"/>
              <w:rPr>
                <w:rFonts w:ascii="黑体" w:hAnsi="宋体" w:eastAsia="黑体" w:cs="黑体"/>
                <w:color w:val="000000" w:themeColor="text1"/>
                <w:szCs w:val="21"/>
              </w:rPr>
            </w:pPr>
          </w:p>
        </w:tc>
        <w:tc>
          <w:tcPr>
            <w:tcW w:w="1593"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snapToGrid w:val="0"/>
              <w:jc w:val="center"/>
              <w:rPr>
                <w:rFonts w:ascii="黑体" w:hAnsi="宋体" w:eastAsia="黑体" w:cs="黑体"/>
                <w:color w:val="000000" w:themeColor="text1"/>
                <w:szCs w:val="21"/>
              </w:rPr>
            </w:pPr>
          </w:p>
        </w:tc>
        <w:tc>
          <w:tcPr>
            <w:tcW w:w="48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snapToGrid w:val="0"/>
              <w:jc w:val="center"/>
              <w:textAlignment w:val="center"/>
              <w:rPr>
                <w:rFonts w:ascii="黑体" w:hAnsi="宋体" w:eastAsia="黑体" w:cs="黑体"/>
                <w:b/>
                <w:bCs/>
                <w:color w:val="000000" w:themeColor="text1"/>
                <w:sz w:val="20"/>
                <w:szCs w:val="20"/>
              </w:rPr>
            </w:pPr>
            <w:r>
              <w:rPr>
                <w:rFonts w:hint="eastAsia" w:ascii="黑体" w:hAnsi="宋体" w:eastAsia="黑体" w:cs="黑体"/>
                <w:b/>
                <w:bCs/>
                <w:color w:val="000000" w:themeColor="text1"/>
                <w:kern w:val="0"/>
                <w:sz w:val="20"/>
                <w:szCs w:val="20"/>
              </w:rPr>
              <w:t>A</w:t>
            </w:r>
          </w:p>
        </w:tc>
        <w:tc>
          <w:tcPr>
            <w:tcW w:w="369"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snapToGrid w:val="0"/>
              <w:jc w:val="center"/>
              <w:textAlignment w:val="center"/>
              <w:rPr>
                <w:rFonts w:ascii="黑体" w:hAnsi="宋体" w:eastAsia="黑体" w:cs="黑体"/>
                <w:b/>
                <w:bCs/>
                <w:color w:val="000000" w:themeColor="text1"/>
                <w:sz w:val="20"/>
                <w:szCs w:val="20"/>
              </w:rPr>
            </w:pPr>
            <w:r>
              <w:rPr>
                <w:rFonts w:hint="eastAsia" w:ascii="黑体" w:hAnsi="宋体" w:eastAsia="黑体" w:cs="黑体"/>
                <w:b/>
                <w:bCs/>
                <w:color w:val="000000" w:themeColor="text1"/>
                <w:kern w:val="0"/>
                <w:sz w:val="20"/>
                <w:szCs w:val="20"/>
              </w:rPr>
              <w:t>B</w:t>
            </w:r>
          </w:p>
        </w:tc>
        <w:tc>
          <w:tcPr>
            <w:tcW w:w="43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snapToGrid w:val="0"/>
              <w:jc w:val="center"/>
              <w:textAlignment w:val="center"/>
              <w:rPr>
                <w:rFonts w:ascii="黑体" w:hAnsi="宋体" w:eastAsia="黑体" w:cs="黑体"/>
                <w:b/>
                <w:bCs/>
                <w:color w:val="000000" w:themeColor="text1"/>
                <w:sz w:val="20"/>
                <w:szCs w:val="20"/>
              </w:rPr>
            </w:pPr>
            <w:r>
              <w:rPr>
                <w:rFonts w:hint="eastAsia" w:ascii="黑体" w:hAnsi="宋体" w:eastAsia="黑体" w:cs="黑体"/>
                <w:b/>
                <w:bCs/>
                <w:color w:val="000000" w:themeColor="text1"/>
                <w:kern w:val="0"/>
                <w:sz w:val="20"/>
                <w:szCs w:val="20"/>
              </w:rPr>
              <w:t>C</w:t>
            </w:r>
          </w:p>
        </w:tc>
        <w:tc>
          <w:tcPr>
            <w:tcW w:w="37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widowControl/>
              <w:snapToGrid w:val="0"/>
              <w:jc w:val="center"/>
              <w:textAlignment w:val="center"/>
              <w:rPr>
                <w:rFonts w:ascii="黑体" w:hAnsi="宋体" w:eastAsia="黑体" w:cs="黑体"/>
                <w:b/>
                <w:bCs/>
                <w:color w:val="000000" w:themeColor="text1"/>
                <w:sz w:val="20"/>
                <w:szCs w:val="20"/>
              </w:rPr>
            </w:pPr>
            <w:r>
              <w:rPr>
                <w:rFonts w:hint="eastAsia" w:ascii="黑体" w:hAnsi="宋体" w:eastAsia="黑体" w:cs="黑体"/>
                <w:b/>
                <w:bCs/>
                <w:color w:val="000000" w:themeColor="text1"/>
                <w:kern w:val="0"/>
                <w:sz w:val="20"/>
                <w:szCs w:val="20"/>
              </w:rPr>
              <w:t>D</w:t>
            </w:r>
          </w:p>
        </w:tc>
      </w:tr>
      <w:tr>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1</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信息公示</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对物业服务人是否按照规定如实公示有关信息的检查</w:t>
            </w:r>
          </w:p>
        </w:tc>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物业服务人是否如实公示有关信息</w:t>
            </w:r>
          </w:p>
        </w:tc>
        <w:tc>
          <w:tcPr>
            <w:tcW w:w="33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物业服务人应当在物业管理区域内显著位置设置公示栏，如实公示、及时更新下列信息，并且可以通过互联网方式告知全体业主：</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（一）物业服务企业的营业执照、项目负责人的基本情况、联系方式以及物业服务投诉电话；</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（二）物业服务内容和标准、收费标准和方式等；</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（三）电梯、消防等具有专业技术要求的设施设备的日常维修保养单位名称、资质、联系方式、维保方案和应急处置方案等；</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（四）上一年度物业服务合同履行及物业服务项目收支情况、本年度物业服务项目收支预算；</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（五）上一年度公共水电费用分摊情况、物业费、公共收益收支与专项维修资金使用情况；</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（六）业主进行房屋装饰装修活动的情况；</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（七）物业管理区域内车位、车库的出售和出租情况。</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《北京市物业管理条例》第七十条</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住房城乡建设主管部门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kern w:val="0"/>
                <w:szCs w:val="21"/>
              </w:rPr>
            </w:pPr>
            <w:r>
              <w:rPr>
                <w:rFonts w:ascii="宋体" w:hAnsi="宋体" w:eastAsia="宋体" w:cs="等线"/>
                <w:color w:val="000000" w:themeColor="text1"/>
                <w:kern w:val="0"/>
                <w:szCs w:val="21"/>
              </w:rPr>
              <w:t>2</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合同备案</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物业服务人未按规定将物业服务合同报街道办事处、乡镇人民政府、区住房和城乡建设或者房屋主管部门备案</w:t>
            </w:r>
          </w:p>
        </w:tc>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物业服务人未按规定将物业服务合同报街道办事处、乡镇人民政府、区住房和城乡建设或者房屋主管部门备案</w:t>
            </w:r>
          </w:p>
        </w:tc>
        <w:tc>
          <w:tcPr>
            <w:tcW w:w="33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北京市物业服务合同备案申请表（原件1份）、《物业服务合同》（复印件1份）、企业法人营业执照副本复印件1份（分支机构管理的需要提交分支机构营业执照副本复印件1份）、企业负责人身份证件（复印件1份）、项目负责人与物业服务企业之间的劳动合同（复印件1份）、社会保险缴费凭证（原件1份）、聘任书（复印件1份）</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物业项目的合法来源文件，包括：不动产产权登记证书或房屋所有权证；项目立项批复；建设工程规划许可证；中标通知书或属地、居委会、业委会任意一方提供的合法来源文件等（复印件1份）</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事实服务的项目需提供原物业服务合同、服务现状的情况说明、仲裁或司法文书等相关材料（复印件1份）</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《北京市物业管理条例》第九十一条</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街乡社区</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街道、乡、社区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宋体"/>
                <w:color w:val="000000" w:themeColor="text1"/>
                <w:kern w:val="0"/>
                <w:szCs w:val="21"/>
              </w:rPr>
              <w:t>非现场检查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3</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履约行为</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对物业服务人按照物业服务合同提供的物业服务是否遵守国家和本市规定的标准和规范进行检查</w:t>
            </w:r>
          </w:p>
        </w:tc>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提供物业服务合同是否符合合同约定的国家和本市规定的标准规范</w:t>
            </w:r>
          </w:p>
        </w:tc>
        <w:tc>
          <w:tcPr>
            <w:tcW w:w="33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物业服务人应当按照物业服务合同的约定提供物业服务，提供物业服务符合国家和本市规定的标准、规范。</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《北京市物业管理条例》第六十五条第一款第（一）项</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住房城乡建设主管部门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4</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安全、合理使用物业告知行为</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对物业服务人是否及时向业主、物业使用人告知安全、合理使用物业的注意事项进行检查</w:t>
            </w:r>
          </w:p>
        </w:tc>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物业服务人（物业服务企业）是否及时向业主、物业使用人告知安全、合理使用物业的注意事项</w:t>
            </w:r>
          </w:p>
        </w:tc>
        <w:tc>
          <w:tcPr>
            <w:tcW w:w="33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及时向业主、物业使用人告知安全、合理使用物业的注意事项。</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《北京市物业管理条例》第六十五条第一款第（二）项</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住房城乡建设主管部门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5</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听取业主意见和建议、接受业主监督、改进和完善服务行为</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对物业服务人是否定期听取业主意见和建议、接受业主监督、改进和完善服务进行检查</w:t>
            </w:r>
          </w:p>
        </w:tc>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物业服务人（物业服务企业）定期听取业主的意见和建议、接受业主监督、改进和完善服务</w:t>
            </w:r>
          </w:p>
        </w:tc>
        <w:tc>
          <w:tcPr>
            <w:tcW w:w="33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定期听取业主的意见和建议，接受业主监督，改进和完善服务。</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《北京市物业管理条例》第六十五条第一款第（三）项</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住房城乡建设主管部门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6</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违法建设、违规出租房屋、私拉电线、占用消防通道行为</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对物业服务人是否存在违法建设、违规出租房屋、私拉电线、占用消防通道进行检查</w:t>
            </w:r>
          </w:p>
        </w:tc>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是否存在违法建设、违规出租房屋、私拉电线、占用消防通道等行为</w:t>
            </w:r>
          </w:p>
        </w:tc>
        <w:tc>
          <w:tcPr>
            <w:tcW w:w="33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对违法建设、违规出租房屋、私拉电线、占用消防通道等行为进行劝阻、制止，劝阻、制止无效的，及时报告行政执法机关。</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《北京市物业管理条例》第六十五条第一款第（四）项</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住房城乡建设主管部门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7</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发现、排除安全隐患等</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对物业服务人发现安全隐患的，是否及时设置警示标志、采取措施排除隐患进行检查</w:t>
            </w:r>
          </w:p>
        </w:tc>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发现安全风险隐患的，是否及时设置警示标志、采取措施排除隐患</w:t>
            </w:r>
          </w:p>
        </w:tc>
        <w:tc>
          <w:tcPr>
            <w:tcW w:w="33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发现有安全风险隐患的，及时设置警示标志，采取措施排除隐患或者向有关专业机构报告。</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《北京市物业管理条例》第六十五条第一款第（五）项</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住房城乡建设主管部门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8</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对业主等违规行为劝阻、制止，未及时报告情况</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对物业服务人是否对业主、物业使用人违反临时管理规约、管理规约的行为未进行劝阻、制止，未及时报告业主委员会或者物业管理委员会进行检查</w:t>
            </w:r>
          </w:p>
        </w:tc>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是否对业主、物业使用人违反临时管理规约、管理规约的行为未进行劝阻、制止，未及时报告业主委员会或者物业管理委员会</w:t>
            </w:r>
          </w:p>
        </w:tc>
        <w:tc>
          <w:tcPr>
            <w:tcW w:w="33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对业主、物业使用人违反临时管理规约、管理规约的行为进行劝阻、制止，并及时报告业主委员会或者物业管理委员会。</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《北京市物业管理条例》第六十五条第一款第（六）项</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住房城乡建设主管部门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ascii="宋体" w:hAnsi="宋体" w:eastAsia="宋体" w:cs="等线"/>
                <w:color w:val="000000" w:themeColor="text1"/>
                <w:kern w:val="0"/>
                <w:szCs w:val="21"/>
              </w:rPr>
              <w:t>9</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损坏、擅自拆改建筑物承重结构、主体结构</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对业主、物业使用人、物业服务人是否损害、擅自拆改建筑物承重结构、主体结构进行检查</w:t>
            </w:r>
          </w:p>
        </w:tc>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物业服务人（物业服务企业）等是否损坏、擅自拆改建筑物承重结构、主体结构</w:t>
            </w:r>
          </w:p>
        </w:tc>
        <w:tc>
          <w:tcPr>
            <w:tcW w:w="33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业主、物业使用人应当遵守法律法规和规章的规定以及临时管理规约、管理规约的约定，按照规划用途合理、安全使用物业。</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　　业主、物业使用人、物业服务人等不得实施下列行为：</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　　（一）损坏、擅自拆改建筑物承重结构、主体结构。</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《北京市物业管理条例》第七十八条第二款第（一）项</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住房城乡建设主管部门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10</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履行交接义务</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对物业服务人是否履行交接义务进行检查</w:t>
            </w:r>
          </w:p>
        </w:tc>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物业服务人（物业服务企业）是否履行交接义务</w:t>
            </w:r>
          </w:p>
        </w:tc>
        <w:tc>
          <w:tcPr>
            <w:tcW w:w="33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业主共同决定解聘物业服务人的，物业服务人应当自接到通知之日起三十日内履行下列交接义务，并且退出物业管理区域：</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（一）移交物业共用部分；（二）移交本条例第二十一条、第七十一条规定的档案和资料；（三）结清预收、代收的有关费用；（四）物业服务合同约定的其他事项。</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物业服务合同终止时，业主大会选聘了新的物业服务企业的，物业服务企业之间应当做好交接工作。</w:t>
            </w:r>
          </w:p>
          <w:p>
            <w:pPr>
              <w:pStyle w:val="2"/>
              <w:numPr>
                <w:ilvl w:val="0"/>
                <w:numId w:val="0"/>
              </w:numPr>
              <w:ind w:firstLine="420"/>
              <w:rPr>
                <w:color w:val="000000" w:themeColor="text1"/>
              </w:rPr>
            </w:pPr>
            <w:r>
              <w:rPr>
                <w:rFonts w:hint="eastAsia" w:ascii="宋体" w:hAnsi="宋体" w:eastAsia="宋体" w:cs="等线"/>
                <w:color w:val="000000" w:themeColor="text1"/>
                <w:kern w:val="0"/>
                <w:szCs w:val="21"/>
              </w:rPr>
              <w:t>在办理物业承接验收手续时，建设单位应当向物业服务企业移交下列资料：（一）竣工总平面图，单体建筑、结构、设备竣工图，配套设施、地下管网工程竣工图等竣工验收资料；（二）设施设备的安装、使用和维护保养等技术资料；（三）物业质量保修文件和物业使用说明文件；（四）物业管理所必需的其他资料。</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《北京市物业管理条例》第七十六条第一款</w:t>
            </w:r>
            <w:r>
              <w:rPr>
                <w:rFonts w:hint="eastAsia" w:ascii="宋体" w:hAnsi="宋体" w:eastAsia="宋体" w:cs="等线"/>
                <w:color w:val="000000" w:themeColor="text1"/>
                <w:kern w:val="0"/>
                <w:szCs w:val="21"/>
              </w:rPr>
              <w:br w:type="textWrapping"/>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住房城乡建设主管部门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11</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拒不退出物业管理区域行为</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对物业服务人是否拒不退出物业管理区域进行检查</w:t>
            </w:r>
          </w:p>
        </w:tc>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物业服务人（物业服务企业）是否拒不退出物业管理区域</w:t>
            </w:r>
          </w:p>
        </w:tc>
        <w:tc>
          <w:tcPr>
            <w:tcW w:w="33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业主共同决定解聘物业服务人的，物业服务人应当自接到通知之日起三十日内履行下列交接义务，并且退出物业管理区域：（一）移交物业共用部分；（二）移交本条例第二十一条、第七十一条规定的档案和资料；（三）结清预收、代收的有关费用；（四）物业服务合同约定的其他事项。</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《北京市物业管理条例》第七十六条第一款</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住房城乡建设主管部门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ascii="宋体" w:hAnsi="宋体" w:eastAsia="宋体" w:cs="等线"/>
                <w:color w:val="000000" w:themeColor="text1"/>
                <w:kern w:val="0"/>
                <w:szCs w:val="21"/>
              </w:rPr>
              <w:t>12</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车位、车库提供给业主以外的其他人的行为</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对物业服务人是否违反规定将车位、车库提供给业主以外的其他人进行检查</w:t>
            </w:r>
          </w:p>
        </w:tc>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是否存在物业服务人（物业服务企业）违反规定将车位、车库提供给业主以外的其他人</w:t>
            </w:r>
          </w:p>
        </w:tc>
        <w:tc>
          <w:tcPr>
            <w:tcW w:w="33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物业管理区域内规划用于停放车辆的车位、车库，应当首先满足业主的需要。用于出售的，应当优先出售给本物业管理区域内的业主；不出售或者尚未售出的，应当提供给本物业管理区域内的业主使用。满足业主需要后仍有空余的，可以临时按月出租给物业管理区域外的其他人。</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《北京市物业管理条例》第八十条</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住房城乡建设主管部门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1</w:t>
            </w:r>
            <w:r>
              <w:rPr>
                <w:rFonts w:ascii="宋体" w:hAnsi="宋体" w:eastAsia="宋体" w:cs="等线"/>
                <w:color w:val="000000" w:themeColor="text1"/>
                <w:kern w:val="0"/>
                <w:szCs w:val="21"/>
              </w:rPr>
              <w:t>3</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一个物业管理区域内的全部物业管理一并委托给他人的行为</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对物业服务人是否将一个物业管理区域内的全部物业管理一并委托给他人进行检查</w:t>
            </w:r>
          </w:p>
        </w:tc>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物业服务人（物业服务企业）是否将一个物业管理区域内的全部物业管理一并委托给他人</w:t>
            </w:r>
          </w:p>
        </w:tc>
        <w:tc>
          <w:tcPr>
            <w:tcW w:w="33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物业服务企业可以将物业管理区域内的专项服务业务委托给专业性服务企业，但不得将该区域内的全部物业管理一并委托给他人。</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《物业管理条例》第三十九条</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住房城乡建设主管部门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1</w:t>
            </w:r>
            <w:r>
              <w:rPr>
                <w:rFonts w:ascii="宋体" w:hAnsi="宋体" w:eastAsia="宋体" w:cs="等线"/>
                <w:color w:val="000000" w:themeColor="text1"/>
                <w:kern w:val="0"/>
                <w:szCs w:val="21"/>
              </w:rPr>
              <w:t>4</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擅自改变物业管理用房进行</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对物业服务人是否擅自改变物业管理用房进行检查</w:t>
            </w:r>
          </w:p>
        </w:tc>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物业服务人（物业服务企业）是否擅自改变物业管理用房用途</w:t>
            </w:r>
          </w:p>
        </w:tc>
        <w:tc>
          <w:tcPr>
            <w:tcW w:w="33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物业管理用房的所有权依法属于业主。未经业主大会同意，物业服务企业不得改变物业管理用房的用途。</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《物业管理条例》第三十七条</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住房城乡建设主管部门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1</w:t>
            </w:r>
            <w:r>
              <w:rPr>
                <w:rFonts w:ascii="宋体" w:hAnsi="宋体" w:eastAsia="宋体" w:cs="等线"/>
                <w:color w:val="000000" w:themeColor="text1"/>
                <w:kern w:val="0"/>
                <w:szCs w:val="21"/>
              </w:rPr>
              <w:t>5</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自占用、挖掘物业管理区域内道路、场地行为</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对物业服务人、业主是否存在擅自占用、挖掘物业管理区域内道路、场地，损害业主共同利益进行检查</w:t>
            </w:r>
          </w:p>
        </w:tc>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是否存在擅自占用、挖掘物业管理区域内道路、场地，损害业主共同利益的行为</w:t>
            </w:r>
          </w:p>
        </w:tc>
        <w:tc>
          <w:tcPr>
            <w:tcW w:w="33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业主、物业服务企业不得擅自占用、挖掘物业管理区域内的道路、场地，损害业主的共同利益。</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《物业管理条例》第五十条第一款</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住房城乡建设主管部门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1</w:t>
            </w:r>
            <w:r>
              <w:rPr>
                <w:rFonts w:ascii="宋体" w:hAnsi="宋体" w:eastAsia="宋体" w:cs="等线"/>
                <w:color w:val="000000" w:themeColor="text1"/>
                <w:kern w:val="0"/>
                <w:szCs w:val="21"/>
              </w:rPr>
              <w:t>6</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擅自利用共用部位、共用设施设备进行经营的行为</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对业主、物业使用人、物业服务人是否擅自利用共用部位、共用设施设备进行经营进行检查</w:t>
            </w:r>
          </w:p>
        </w:tc>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是否存在擅自利用共用部位、共用设施设备进行经营的情况（如电梯广告、售水机等）</w:t>
            </w:r>
          </w:p>
        </w:tc>
        <w:tc>
          <w:tcPr>
            <w:tcW w:w="33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利用物业共用部位、共用设施设备进行经营的，应当在征得相关业主、业主大会、物业服务企业的同意后，按照规定办理有关手续。业主所得收益应当主要用于补充专项维修资金，也可以按照业主大会的决定使用。</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《物业管理条例》第五十四条</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住房城乡建设主管部门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kern w:val="0"/>
                <w:szCs w:val="21"/>
              </w:rPr>
            </w:pPr>
            <w:r>
              <w:rPr>
                <w:rFonts w:ascii="宋体" w:hAnsi="宋体" w:eastAsia="宋体" w:cs="等线"/>
                <w:color w:val="000000" w:themeColor="text1"/>
                <w:kern w:val="0"/>
                <w:szCs w:val="21"/>
              </w:rPr>
              <w:t>17</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擅自改变物业管理区域内按照规划建设的公共建筑和共用设施用途</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对物业管理区域内按照规划建设的公共建筑和共用设施的使用用途进行检查，业主依法确需改变公共建筑和共用设施用途的，应当在依法办理有关手续后告知物业服务企业；物业服务企业确需改变公共建筑和共用设施用途的，应当提请业主大会讨论决定同意后，由业主依法办理有关手续。</w:t>
            </w:r>
          </w:p>
        </w:tc>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物业管理区域内按照规划建设的公共建筑和共用设施；确需改变的应有业主大会讨论结果及相关手续</w:t>
            </w:r>
          </w:p>
        </w:tc>
        <w:tc>
          <w:tcPr>
            <w:tcW w:w="33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物业管理区域内按照规划建设的公共建筑和共用设施，不得改变用途。</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业主依法确需改变公共建筑和共用设施用途的，有依法办理的手续并告知物业服务企业；物业服务企业确需改变公共建筑和共用设施用途的，经业主大会讨论决定同意并有依法办理的有关手续。</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《物业管理条例》第六十三条</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住房城乡建设主管部门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18</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擅自改变规划用途</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业主、物业使用人、物业服务人等擅自改变物业规划用途</w:t>
            </w:r>
          </w:p>
        </w:tc>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物业服务人是否擅自改变物业规划用途</w:t>
            </w:r>
          </w:p>
        </w:tc>
        <w:tc>
          <w:tcPr>
            <w:tcW w:w="33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不动产登记簿记载的用途应当符合建设工程规划许可证或者乡村建设规划许可证确定的使用用途；有关主管部门核发的与房屋用途相关的行政许可证件应当与不动产登记簿记载的用途一致。</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建设工程使用用途确需改变的，应当符合本市规划用途管制的有关规定；有关主管部门可以按照变更后的用途依法办理相关审批手续。</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业主、物业使用人应当遵守法律法规和规章的规定以及临时管理规约、管理规约的约定，按照规划用途合理、安全使用物业。</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　　业主、物业使用人、物业服务人等不得实施下列行为：</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（十一）擅自改变物业规划用途。</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《北京市城乡规划条例》第四十六条、《北京市物业管理条例》第七十八条</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市规划自然资源委</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kern w:val="0"/>
                <w:szCs w:val="21"/>
              </w:rPr>
            </w:pPr>
            <w:r>
              <w:rPr>
                <w:rFonts w:ascii="宋体" w:hAnsi="宋体" w:eastAsia="宋体" w:cs="等线"/>
                <w:color w:val="000000" w:themeColor="text1"/>
                <w:kern w:val="0"/>
                <w:szCs w:val="21"/>
              </w:rPr>
              <w:t>19</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占用、堵塞、封闭其他共用部位（或者损坏其他共用设施设备）</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占用、堵塞、封闭其他共用部位（或者损坏其他共用设施设备）</w:t>
            </w:r>
          </w:p>
        </w:tc>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占用、堵塞、封闭其他共用部位（或者损坏其他共用设施设备）</w:t>
            </w:r>
          </w:p>
        </w:tc>
        <w:tc>
          <w:tcPr>
            <w:tcW w:w="33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420" w:firstLineChars="200"/>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业主、物业使用人、物业服务人等不得实施下列行为：（十）擅自通过设置地锁、石墩、栅栏等障碍物和乱堆乱放杂物等方式，占用、堵塞、封闭消防通道、疏散通道等共用部位，或者损坏消防设施等共用设施设备。</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《北京市物业管理条例》第七十八条、第九十八条</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城管执法部门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kern w:val="0"/>
                <w:szCs w:val="21"/>
              </w:rPr>
            </w:pPr>
            <w:r>
              <w:rPr>
                <w:rFonts w:ascii="宋体" w:hAnsi="宋体" w:eastAsia="宋体" w:cs="等线"/>
                <w:color w:val="000000" w:themeColor="text1"/>
                <w:kern w:val="0"/>
                <w:szCs w:val="21"/>
              </w:rPr>
              <w:t>20</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执行政府定价、政府指导价情况，明码标价情况及其他价格行为的检查</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执行政府定价、政府指导价情况，明码标价情况及其他价格行为的检查</w:t>
            </w:r>
          </w:p>
        </w:tc>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执行政府定价、政府指导价情况，明码标价情况及其他价格行为的检查</w:t>
            </w:r>
          </w:p>
        </w:tc>
        <w:tc>
          <w:tcPr>
            <w:tcW w:w="33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在管理区域内或缴费地点的醒目位置公布服务项目、服务内容、等级或规格、服务价格等。</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不得在标价之外加价出售商品，不得收取任何未予标明的费用。先消费后结算的，须出具结算单据，并应当列出具体收款项目和价格。</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《中华人民共和国价格法》第四十二条</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市场监管部门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w:t>
            </w:r>
          </w:p>
        </w:tc>
      </w:tr>
      <w:tr>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kern w:val="0"/>
                <w:szCs w:val="21"/>
              </w:rPr>
            </w:pPr>
            <w:r>
              <w:rPr>
                <w:rFonts w:ascii="宋体" w:hAnsi="宋体" w:eastAsia="宋体" w:cs="等线"/>
                <w:color w:val="000000" w:themeColor="text1"/>
                <w:kern w:val="0"/>
                <w:szCs w:val="21"/>
              </w:rPr>
              <w:t>21</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公共建筑室内温度控制</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对公共建筑的运行管理单位或者使用人是否按照规定执行公共建筑室内温度控制的行为进行检查</w:t>
            </w:r>
          </w:p>
        </w:tc>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公共建筑的运行管理单位或者使用人是否按照规定执行公共建筑室内温度控制</w:t>
            </w:r>
          </w:p>
        </w:tc>
        <w:tc>
          <w:tcPr>
            <w:tcW w:w="333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7"/>
              <w:ind w:left="0" w:leftChars="0" w:firstLine="0" w:firstLineChars="0"/>
              <w:rPr>
                <w:color w:val="000000" w:themeColor="text1"/>
              </w:rPr>
            </w:pP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使用空调采暖、制冷的公共建筑所有权人应当改进空调运行管理，充分利用自然通风，管理运行单位和使用人应当按照国家规定实行室内温度控制。</w:t>
            </w:r>
          </w:p>
          <w:p>
            <w:pPr>
              <w:pStyle w:val="47"/>
              <w:rPr>
                <w:color w:val="000000" w:themeColor="text1"/>
              </w:rPr>
            </w:pP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《北京市民用建筑节能管理办法》第三十四条</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住房城乡建设主管部门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kern w:val="0"/>
                <w:szCs w:val="21"/>
              </w:rPr>
            </w:pPr>
            <w:r>
              <w:rPr>
                <w:rFonts w:ascii="宋体" w:hAnsi="宋体" w:eastAsia="宋体" w:cs="等线"/>
                <w:color w:val="000000" w:themeColor="text1"/>
                <w:kern w:val="0"/>
                <w:szCs w:val="21"/>
              </w:rPr>
              <w:t>22</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泄露业主个人信息</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不得泄露在物业服务活动中获取的业主信息</w:t>
            </w:r>
          </w:p>
        </w:tc>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物业服务人在按照物业服务合同的约定提供物业服务过程中是否泄露在物业服务活动中获取的业主信息</w:t>
            </w:r>
          </w:p>
        </w:tc>
        <w:tc>
          <w:tcPr>
            <w:tcW w:w="33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物业服务人在按照物业服务合同的约定提供物业服务过程中无泄露业主信息的情形，有相应的保密措施。</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《北京市物业管理条例》第九十二条、《刑法》第二百五十三条、《居民身份证法》第19条第1款</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市公安局</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ascii="宋体" w:hAnsi="宋体" w:eastAsia="宋体" w:cs="等线"/>
                <w:color w:val="000000" w:themeColor="text1"/>
                <w:szCs w:val="21"/>
              </w:rPr>
              <w:t>23</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档案管理</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对物业服务人是否建立、保存相关档案和资料进行检查</w:t>
            </w:r>
          </w:p>
        </w:tc>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物业服务人（物业服务企业）是否建立、保存相关档案和资料</w:t>
            </w:r>
          </w:p>
        </w:tc>
        <w:tc>
          <w:tcPr>
            <w:tcW w:w="33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物业服务人应当建立、保存下列档案和资料：</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（一）小区共有部分经营管理档案；</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（二）小区监控系统、电梯、水泵、有限空间等共用部位、共用设施设备档案及其管理、运行、维修、养护记录；</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（三）水箱清洗记录及水箱水质检测报告；</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（四）住宅装饰装修管理资料；</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（五）业主名册；</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（六）签订的供水、供电、垃圾清运等书面协议；</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（七）物业服务活动中形成的与业主利益相关的其他资料。</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《北京市物业管理条例》第七十一条</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住房城乡建设主管部门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bl>
    <w:p>
      <w:pPr>
        <w:snapToGrid w:val="0"/>
        <w:spacing w:line="20" w:lineRule="exact"/>
      </w:pPr>
      <w:r>
        <w:br w:type="page"/>
      </w:r>
    </w:p>
    <w:tbl>
      <w:tblPr>
        <w:tblStyle w:val="26"/>
        <w:tblW w:w="13608" w:type="dxa"/>
        <w:jc w:val="center"/>
        <w:tblLayout w:type="fixed"/>
        <w:tblCellMar>
          <w:top w:w="0" w:type="dxa"/>
          <w:left w:w="108" w:type="dxa"/>
          <w:bottom w:w="0" w:type="dxa"/>
          <w:right w:w="108" w:type="dxa"/>
        </w:tblCellMar>
      </w:tblPr>
      <w:tblGrid>
        <w:gridCol w:w="432"/>
        <w:gridCol w:w="1038"/>
        <w:gridCol w:w="1489"/>
        <w:gridCol w:w="1455"/>
        <w:gridCol w:w="2967"/>
        <w:gridCol w:w="1038"/>
        <w:gridCol w:w="646"/>
        <w:gridCol w:w="761"/>
        <w:gridCol w:w="726"/>
        <w:gridCol w:w="1466"/>
        <w:gridCol w:w="461"/>
        <w:gridCol w:w="357"/>
        <w:gridCol w:w="415"/>
        <w:gridCol w:w="357"/>
      </w:tblGrid>
      <w:tr>
        <w:tblPrEx>
          <w:tblCellMar>
            <w:top w:w="0" w:type="dxa"/>
            <w:left w:w="108" w:type="dxa"/>
            <w:bottom w:w="0" w:type="dxa"/>
            <w:right w:w="108" w:type="dxa"/>
          </w:tblCellMar>
        </w:tblPrEx>
        <w:trPr>
          <w:jc w:val="center"/>
        </w:trPr>
        <w:tc>
          <w:tcPr>
            <w:tcW w:w="14669"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pPr>
              <w:pStyle w:val="5"/>
              <w:jc w:val="center"/>
              <w:rPr>
                <w:rFonts w:ascii="等线" w:hAnsi="等线" w:cs="等线"/>
                <w:color w:val="000000" w:themeColor="text1"/>
                <w:sz w:val="22"/>
                <w:szCs w:val="22"/>
              </w:rPr>
            </w:pPr>
            <w:bookmarkStart w:id="182" w:name="_Toc150435304"/>
            <w:r>
              <w:rPr>
                <w:rFonts w:hint="eastAsia"/>
                <w:color w:val="000000" w:themeColor="text1"/>
              </w:rPr>
              <w:t>资金使用方面</w:t>
            </w:r>
            <w:bookmarkEnd w:id="182"/>
          </w:p>
        </w:tc>
      </w:tr>
      <w:tr>
        <w:tblPrEx>
          <w:tblCellMar>
            <w:top w:w="0" w:type="dxa"/>
            <w:left w:w="108" w:type="dxa"/>
            <w:bottom w:w="0" w:type="dxa"/>
            <w:right w:w="108" w:type="dxa"/>
          </w:tblCellMar>
        </w:tblPrEx>
        <w:trPr>
          <w:jc w:val="center"/>
        </w:trPr>
        <w:tc>
          <w:tcPr>
            <w:tcW w:w="452"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Cs w:val="21"/>
              </w:rPr>
              <w:t>序号</w:t>
            </w:r>
          </w:p>
        </w:tc>
        <w:tc>
          <w:tcPr>
            <w:tcW w:w="1121"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Cs w:val="21"/>
              </w:rPr>
              <w:t>检查事项</w:t>
            </w:r>
          </w:p>
        </w:tc>
        <w:tc>
          <w:tcPr>
            <w:tcW w:w="1618"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Cs w:val="21"/>
              </w:rPr>
              <w:t>检查子事项</w:t>
            </w:r>
          </w:p>
        </w:tc>
        <w:tc>
          <w:tcPr>
            <w:tcW w:w="1580"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0"/>
                <w:szCs w:val="20"/>
              </w:rPr>
            </w:pPr>
            <w:r>
              <w:rPr>
                <w:rFonts w:hint="eastAsia" w:ascii="黑体" w:hAnsi="宋体" w:eastAsia="黑体" w:cs="黑体"/>
                <w:b/>
                <w:bCs/>
                <w:color w:val="000000" w:themeColor="text1"/>
                <w:kern w:val="0"/>
                <w:szCs w:val="21"/>
              </w:rPr>
              <w:t>检查内容</w:t>
            </w:r>
          </w:p>
        </w:tc>
        <w:tc>
          <w:tcPr>
            <w:tcW w:w="3248"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宋体"/>
                <w:color w:val="000000" w:themeColor="text1"/>
                <w:kern w:val="0"/>
                <w:sz w:val="20"/>
                <w:szCs w:val="20"/>
              </w:rPr>
            </w:pPr>
            <w:r>
              <w:rPr>
                <w:rFonts w:hint="eastAsia" w:ascii="黑体" w:hAnsi="宋体" w:eastAsia="黑体" w:cs="黑体"/>
                <w:b/>
                <w:bCs/>
                <w:color w:val="000000" w:themeColor="text1"/>
                <w:kern w:val="0"/>
                <w:szCs w:val="21"/>
              </w:rPr>
              <w:t>合格标准</w:t>
            </w:r>
          </w:p>
        </w:tc>
        <w:tc>
          <w:tcPr>
            <w:tcW w:w="1121"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宋体"/>
                <w:color w:val="000000" w:themeColor="text1"/>
                <w:kern w:val="0"/>
                <w:sz w:val="20"/>
                <w:szCs w:val="20"/>
              </w:rPr>
            </w:pPr>
            <w:r>
              <w:rPr>
                <w:rFonts w:hint="eastAsia" w:ascii="黑体" w:hAnsi="宋体" w:eastAsia="黑体" w:cs="黑体"/>
                <w:b/>
                <w:bCs/>
                <w:color w:val="000000" w:themeColor="text1"/>
                <w:kern w:val="0"/>
                <w:szCs w:val="21"/>
              </w:rPr>
              <w:t>标准对应的依据</w:t>
            </w:r>
          </w:p>
        </w:tc>
        <w:tc>
          <w:tcPr>
            <w:tcW w:w="688"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0"/>
                <w:szCs w:val="20"/>
              </w:rPr>
            </w:pPr>
            <w:r>
              <w:rPr>
                <w:rFonts w:hint="eastAsia" w:ascii="黑体" w:hAnsi="宋体" w:eastAsia="黑体" w:cs="黑体"/>
                <w:b/>
                <w:bCs/>
                <w:color w:val="000000" w:themeColor="text1"/>
                <w:kern w:val="0"/>
                <w:szCs w:val="21"/>
              </w:rPr>
              <w:t>监管部门</w:t>
            </w:r>
          </w:p>
        </w:tc>
        <w:tc>
          <w:tcPr>
            <w:tcW w:w="815" w:type="dxa"/>
            <w:vMerge w:val="restart"/>
            <w:tcBorders>
              <w:top w:val="single" w:color="000000" w:sz="4" w:space="0"/>
              <w:left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0"/>
                <w:szCs w:val="20"/>
              </w:rPr>
            </w:pPr>
            <w:r>
              <w:rPr>
                <w:rFonts w:hint="eastAsia" w:ascii="黑体" w:hAnsi="宋体" w:eastAsia="黑体" w:cs="黑体"/>
                <w:b/>
                <w:bCs/>
                <w:color w:val="000000" w:themeColor="text1"/>
                <w:kern w:val="0"/>
                <w:szCs w:val="21"/>
              </w:rPr>
              <w:t>检查层级</w:t>
            </w:r>
          </w:p>
        </w:tc>
        <w:tc>
          <w:tcPr>
            <w:tcW w:w="777"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Cs w:val="21"/>
              </w:rPr>
              <w:t>检查方法</w:t>
            </w:r>
          </w:p>
        </w:tc>
        <w:tc>
          <w:tcPr>
            <w:tcW w:w="1593"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Cs w:val="21"/>
              </w:rPr>
              <w:t>检查结果</w:t>
            </w:r>
          </w:p>
        </w:tc>
        <w:tc>
          <w:tcPr>
            <w:tcW w:w="165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2"/>
              </w:rPr>
            </w:pPr>
            <w:r>
              <w:rPr>
                <w:rFonts w:ascii="宋体" w:hAnsi="宋体" w:eastAsia="宋体" w:cs="宋体"/>
                <w:b/>
                <w:bCs/>
                <w:color w:val="000000" w:themeColor="text1"/>
                <w:kern w:val="0"/>
                <w:sz w:val="20"/>
                <w:szCs w:val="20"/>
              </w:rPr>
              <w:t>检查项分级标注</w:t>
            </w:r>
          </w:p>
        </w:tc>
      </w:tr>
      <w:tr>
        <w:tblPrEx>
          <w:tblCellMar>
            <w:top w:w="0" w:type="dxa"/>
            <w:left w:w="108" w:type="dxa"/>
            <w:bottom w:w="0" w:type="dxa"/>
            <w:right w:w="108" w:type="dxa"/>
          </w:tblCellMar>
        </w:tblPrEx>
        <w:trPr>
          <w:jc w:val="center"/>
        </w:trPr>
        <w:tc>
          <w:tcPr>
            <w:tcW w:w="452"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1121"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1618"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1580"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3248"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1121"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688"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815" w:type="dxa"/>
            <w:vMerge w:val="continue"/>
            <w:tcBorders>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color w:val="000000" w:themeColor="text1"/>
              </w:rPr>
            </w:pPr>
          </w:p>
        </w:tc>
        <w:tc>
          <w:tcPr>
            <w:tcW w:w="777"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1593"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 w:val="20"/>
                <w:szCs w:val="20"/>
              </w:rPr>
              <w:t>A</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 w:val="20"/>
                <w:szCs w:val="20"/>
              </w:rPr>
              <w:t>B</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 w:val="20"/>
                <w:szCs w:val="20"/>
              </w:rPr>
              <w:t>C</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 w:val="20"/>
                <w:szCs w:val="20"/>
              </w:rPr>
              <w:t>D</w:t>
            </w:r>
          </w:p>
        </w:tc>
      </w:tr>
      <w:tr>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ascii="宋体" w:hAnsi="宋体" w:eastAsia="宋体" w:cs="等线"/>
                <w:color w:val="000000" w:themeColor="text1"/>
                <w:kern w:val="0"/>
                <w:szCs w:val="21"/>
              </w:rPr>
              <w:t>1</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住宅专项维修资金</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对物业服务人、业主委员会（物业管理委员会）是否挪用住宅专项维修资金进行检查</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是否挪用住宅专项维修资金</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住宅专项维修资金应当专项用于住宅共用部位、共用设施设备保修期满后的维修和更新、改造，不得挪作他用。</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《物业管理条例》第五十三条第二款：专项维修资金属业主所有，专项用于物业保修期满后物业共用部位、共用设施设备的维修和更新、改造，不得挪作他用。</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《住宅专项维修资金管理办法》第十八条</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住房城乡建设主管部门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kern w:val="0"/>
                <w:szCs w:val="21"/>
              </w:rPr>
            </w:pPr>
            <w:r>
              <w:rPr>
                <w:rFonts w:ascii="宋体" w:hAnsi="宋体" w:eastAsia="宋体" w:cs="等线"/>
                <w:color w:val="000000" w:themeColor="text1"/>
                <w:kern w:val="0"/>
                <w:szCs w:val="21"/>
              </w:rPr>
              <w:t>2</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公共收益</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对物业服务人是否挪用、侵占公共收益进行检查</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物业服务人（物业服务企业）利用共用部分从事经营活动的，是否将公共收益单独列账，是否存在挪用侵占的情况</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物业服务人利用共用部分从事经营活动的，应当将公共收益单独列账。</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公共收益归全体业主所有。专项维修资金余额不足首期应筹集金额百分之三十的，百分之五十以上的公共收益金额应当优先用于补充专项维修资金，剩余部分的使用由业主共同决定。</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《北京市物业管理条例》第七十四条</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住房城乡建设主管部门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w:t>
            </w:r>
          </w:p>
        </w:tc>
      </w:tr>
    </w:tbl>
    <w:p>
      <w:pPr>
        <w:rPr>
          <w:color w:val="000000" w:themeColor="text1"/>
        </w:rPr>
      </w:pPr>
      <w:r>
        <w:rPr>
          <w:color w:val="000000" w:themeColor="text1"/>
        </w:rPr>
        <w:br w:type="page"/>
      </w:r>
    </w:p>
    <w:tbl>
      <w:tblPr>
        <w:tblStyle w:val="26"/>
        <w:tblW w:w="13608" w:type="dxa"/>
        <w:jc w:val="center"/>
        <w:tblLayout w:type="fixed"/>
        <w:tblCellMar>
          <w:top w:w="0" w:type="dxa"/>
          <w:left w:w="108" w:type="dxa"/>
          <w:bottom w:w="0" w:type="dxa"/>
          <w:right w:w="108" w:type="dxa"/>
        </w:tblCellMar>
      </w:tblPr>
      <w:tblGrid>
        <w:gridCol w:w="432"/>
        <w:gridCol w:w="1038"/>
        <w:gridCol w:w="1489"/>
        <w:gridCol w:w="1455"/>
        <w:gridCol w:w="2967"/>
        <w:gridCol w:w="1038"/>
        <w:gridCol w:w="646"/>
        <w:gridCol w:w="761"/>
        <w:gridCol w:w="726"/>
        <w:gridCol w:w="1466"/>
        <w:gridCol w:w="461"/>
        <w:gridCol w:w="357"/>
        <w:gridCol w:w="415"/>
        <w:gridCol w:w="357"/>
      </w:tblGrid>
      <w:tr>
        <w:tblPrEx>
          <w:tblCellMar>
            <w:top w:w="0" w:type="dxa"/>
            <w:left w:w="108" w:type="dxa"/>
            <w:bottom w:w="0" w:type="dxa"/>
            <w:right w:w="108" w:type="dxa"/>
          </w:tblCellMar>
        </w:tblPrEx>
        <w:trPr>
          <w:jc w:val="center"/>
        </w:trPr>
        <w:tc>
          <w:tcPr>
            <w:tcW w:w="14669"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pPr>
              <w:pStyle w:val="5"/>
              <w:jc w:val="center"/>
              <w:rPr>
                <w:rFonts w:ascii="等线" w:hAnsi="等线" w:cs="等线"/>
                <w:color w:val="000000" w:themeColor="text1"/>
                <w:sz w:val="22"/>
                <w:szCs w:val="22"/>
              </w:rPr>
            </w:pPr>
            <w:bookmarkStart w:id="183" w:name="_Toc150435305"/>
            <w:r>
              <w:rPr>
                <w:rFonts w:hint="eastAsia"/>
                <w:color w:val="000000" w:themeColor="text1"/>
              </w:rPr>
              <w:t>安全管理方面</w:t>
            </w:r>
            <w:bookmarkEnd w:id="183"/>
          </w:p>
        </w:tc>
      </w:tr>
      <w:tr>
        <w:tblPrEx>
          <w:tblCellMar>
            <w:top w:w="0" w:type="dxa"/>
            <w:left w:w="108" w:type="dxa"/>
            <w:bottom w:w="0" w:type="dxa"/>
            <w:right w:w="108" w:type="dxa"/>
          </w:tblCellMar>
        </w:tblPrEx>
        <w:trPr>
          <w:jc w:val="center"/>
        </w:trPr>
        <w:tc>
          <w:tcPr>
            <w:tcW w:w="452"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Cs w:val="21"/>
              </w:rPr>
              <w:t>序号</w:t>
            </w:r>
          </w:p>
        </w:tc>
        <w:tc>
          <w:tcPr>
            <w:tcW w:w="1121"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Cs w:val="21"/>
              </w:rPr>
              <w:t>检查事项</w:t>
            </w:r>
          </w:p>
        </w:tc>
        <w:tc>
          <w:tcPr>
            <w:tcW w:w="1618"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Cs w:val="21"/>
              </w:rPr>
              <w:t>检查子事项</w:t>
            </w:r>
          </w:p>
        </w:tc>
        <w:tc>
          <w:tcPr>
            <w:tcW w:w="1580"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宋体"/>
                <w:color w:val="000000" w:themeColor="text1"/>
                <w:kern w:val="0"/>
                <w:sz w:val="20"/>
                <w:szCs w:val="20"/>
              </w:rPr>
            </w:pPr>
            <w:r>
              <w:rPr>
                <w:rFonts w:hint="eastAsia" w:ascii="黑体" w:hAnsi="宋体" w:eastAsia="黑体" w:cs="黑体"/>
                <w:b/>
                <w:bCs/>
                <w:color w:val="000000" w:themeColor="text1"/>
                <w:kern w:val="0"/>
                <w:szCs w:val="21"/>
              </w:rPr>
              <w:t>检查内容</w:t>
            </w:r>
          </w:p>
        </w:tc>
        <w:tc>
          <w:tcPr>
            <w:tcW w:w="3248"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宋体"/>
                <w:color w:val="000000" w:themeColor="text1"/>
                <w:kern w:val="0"/>
                <w:sz w:val="20"/>
                <w:szCs w:val="20"/>
              </w:rPr>
            </w:pPr>
            <w:r>
              <w:rPr>
                <w:rFonts w:hint="eastAsia" w:ascii="黑体" w:hAnsi="宋体" w:eastAsia="黑体" w:cs="黑体"/>
                <w:b/>
                <w:bCs/>
                <w:color w:val="000000" w:themeColor="text1"/>
                <w:kern w:val="0"/>
                <w:szCs w:val="21"/>
              </w:rPr>
              <w:t>合格标准</w:t>
            </w:r>
          </w:p>
        </w:tc>
        <w:tc>
          <w:tcPr>
            <w:tcW w:w="1121"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宋体"/>
                <w:color w:val="000000" w:themeColor="text1"/>
                <w:kern w:val="0"/>
                <w:sz w:val="20"/>
                <w:szCs w:val="20"/>
              </w:rPr>
            </w:pPr>
            <w:r>
              <w:rPr>
                <w:rFonts w:hint="eastAsia" w:ascii="黑体" w:hAnsi="宋体" w:eastAsia="黑体" w:cs="黑体"/>
                <w:b/>
                <w:bCs/>
                <w:color w:val="000000" w:themeColor="text1"/>
                <w:kern w:val="0"/>
                <w:szCs w:val="21"/>
              </w:rPr>
              <w:t>标准对应的依据</w:t>
            </w:r>
          </w:p>
        </w:tc>
        <w:tc>
          <w:tcPr>
            <w:tcW w:w="688"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0"/>
                <w:szCs w:val="20"/>
              </w:rPr>
            </w:pPr>
            <w:r>
              <w:rPr>
                <w:rFonts w:hint="eastAsia" w:ascii="黑体" w:hAnsi="宋体" w:eastAsia="黑体" w:cs="黑体"/>
                <w:b/>
                <w:bCs/>
                <w:color w:val="000000" w:themeColor="text1"/>
                <w:kern w:val="0"/>
                <w:szCs w:val="21"/>
              </w:rPr>
              <w:t>监管部门</w:t>
            </w:r>
          </w:p>
        </w:tc>
        <w:tc>
          <w:tcPr>
            <w:tcW w:w="815" w:type="dxa"/>
            <w:vMerge w:val="restart"/>
            <w:tcBorders>
              <w:top w:val="single" w:color="000000" w:sz="4" w:space="0"/>
              <w:left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0"/>
                <w:szCs w:val="20"/>
              </w:rPr>
            </w:pPr>
            <w:r>
              <w:rPr>
                <w:rFonts w:hint="eastAsia" w:ascii="黑体" w:hAnsi="宋体" w:eastAsia="黑体" w:cs="黑体"/>
                <w:b/>
                <w:bCs/>
                <w:color w:val="000000" w:themeColor="text1"/>
                <w:kern w:val="0"/>
                <w:szCs w:val="21"/>
              </w:rPr>
              <w:t>检查层级</w:t>
            </w:r>
          </w:p>
        </w:tc>
        <w:tc>
          <w:tcPr>
            <w:tcW w:w="777"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Cs w:val="21"/>
              </w:rPr>
              <w:t>检查方法</w:t>
            </w:r>
          </w:p>
        </w:tc>
        <w:tc>
          <w:tcPr>
            <w:tcW w:w="1593"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Cs w:val="21"/>
              </w:rPr>
              <w:t>检查结果</w:t>
            </w:r>
          </w:p>
        </w:tc>
        <w:tc>
          <w:tcPr>
            <w:tcW w:w="165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2"/>
              </w:rPr>
            </w:pPr>
            <w:r>
              <w:rPr>
                <w:rFonts w:ascii="宋体" w:hAnsi="宋体" w:eastAsia="宋体" w:cs="宋体"/>
                <w:b/>
                <w:bCs/>
                <w:color w:val="000000" w:themeColor="text1"/>
                <w:kern w:val="0"/>
                <w:sz w:val="20"/>
                <w:szCs w:val="20"/>
              </w:rPr>
              <w:t>检查项分级标注</w:t>
            </w:r>
          </w:p>
        </w:tc>
      </w:tr>
      <w:tr>
        <w:tblPrEx>
          <w:tblCellMar>
            <w:top w:w="0" w:type="dxa"/>
            <w:left w:w="108" w:type="dxa"/>
            <w:bottom w:w="0" w:type="dxa"/>
            <w:right w:w="108" w:type="dxa"/>
          </w:tblCellMar>
        </w:tblPrEx>
        <w:trPr>
          <w:jc w:val="center"/>
        </w:trPr>
        <w:tc>
          <w:tcPr>
            <w:tcW w:w="452"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1121"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1618"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1580"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3248"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1121"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688"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815" w:type="dxa"/>
            <w:vMerge w:val="continue"/>
            <w:tcBorders>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color w:val="000000" w:themeColor="text1"/>
              </w:rPr>
            </w:pPr>
          </w:p>
        </w:tc>
        <w:tc>
          <w:tcPr>
            <w:tcW w:w="777"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1593"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 w:val="20"/>
                <w:szCs w:val="20"/>
              </w:rPr>
              <w:t>A</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 w:val="20"/>
                <w:szCs w:val="20"/>
              </w:rPr>
              <w:t>B</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 w:val="20"/>
                <w:szCs w:val="20"/>
              </w:rPr>
              <w:t>C</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 w:val="20"/>
                <w:szCs w:val="20"/>
              </w:rPr>
              <w:t>D</w:t>
            </w:r>
          </w:p>
        </w:tc>
      </w:tr>
      <w:tr>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ascii="宋体" w:hAnsi="宋体" w:eastAsia="宋体" w:cs="等线"/>
                <w:color w:val="000000" w:themeColor="text1"/>
                <w:kern w:val="0"/>
                <w:szCs w:val="21"/>
              </w:rPr>
              <w:t>1</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装修管理</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对物业管理单位发现装修人或者装饰装修企业有违反《住宅室内装饰装修管理办法》规定的行为是否及时向有关部门报告进行检查</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物业管理单位发现装修人或者装饰装修企业有违反《住宅室内装饰装修管理办法》规定的行为是否及时向有关部门报告</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物业管理单位应当按照住宅室内装饰装修管理服务协议实施管理，发现装修人或者装饰装修企业有本办法第五条行为的，或者未经有关部门批准实施本办法第六条所列行为的，或者有违反本办法第七条、第八条、第九条规定行为的，应当立即制止；已造成事实后果或者拒不改正的，应当及时报告有关部门依法处理。对装修人或者装饰装修企业违反住宅室内装饰装修管理服务协议的，追究违约责任。</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《住宅室内装饰装修管理办法》第十七条</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住房城乡建设主管部门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kern w:val="0"/>
                <w:szCs w:val="21"/>
              </w:rPr>
            </w:pPr>
            <w:r>
              <w:rPr>
                <w:rFonts w:ascii="宋体" w:hAnsi="宋体" w:eastAsia="宋体" w:cs="等线"/>
                <w:color w:val="000000" w:themeColor="text1"/>
                <w:kern w:val="0"/>
                <w:szCs w:val="21"/>
              </w:rPr>
              <w:t>2</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设施设备和部位安全巡查、养护和保障</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对物业服务人在物业管理区域内易发生安全风险的设施设备和部位是否进行日常巡查和定期养护、是否采取必要的安全保障措施的进行检查</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物业服务人（物业服务企业）是否对物业管理区域内的电梯、消防设施等易于发生安全风险的设施设备和部位加强日常巡查和定期养护；是否采取必要的安全保障措施，防止建筑物、构筑物或者其他设施及其搁置物、悬挂物发生脱落、坠落</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物业服务人应当对物业管理区域内的电梯、消防设施等易于发生安全风险的设施设备和部位加强日常巡查和定期养护；采取必要的安全保障措施，防止建筑物、构筑物或者其他设施及其搁置物、悬挂物发生脱落、坠落。</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《北京市物业管理条例》第八十八条第一款</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住房城乡建设主管部门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ascii="宋体" w:hAnsi="宋体" w:eastAsia="宋体" w:cs="等线"/>
                <w:color w:val="000000" w:themeColor="text1"/>
                <w:kern w:val="0"/>
                <w:szCs w:val="21"/>
              </w:rPr>
              <w:t>3</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房屋建筑使用安全管理档案</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对自行管理的单位和受托管理的物业服务企业是否按照规定建立房屋建筑使用安全管理档案并如实记录进行检查</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是否按照规定建立房屋建筑使用安全管理档案并如实记录</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房屋建筑所有权人或者受托管理人应当对房屋建筑进行检查维护，发现危及房屋建筑使用安全的问题时，应当及时向住房城乡建设行政主管部门报告，并有权对危害房屋建筑使用安全的行为进行制止。</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　　自行管理的单位和受托管理的物业服务企业应当按照住房城乡建设行政主管部门的规定建立房屋建筑使用安全管理档案。</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《北京市房屋建筑使用安全管理办法》第七条第二款</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住房城乡建设主管部门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ascii="宋体" w:hAnsi="宋体" w:eastAsia="宋体" w:cs="等线"/>
                <w:color w:val="000000" w:themeColor="text1"/>
                <w:kern w:val="0"/>
                <w:szCs w:val="21"/>
              </w:rPr>
              <w:t>4</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安全管理员</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对自行管理的单位和受托管理的物业服务企业是否配备房屋建筑安全管理员进行检查</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是否配备安全管理员，且安全管理员具备房屋建筑结构和设施设备安全管理的专业知识</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自行管理的单位和受托管理的物业服务企业应当配备房屋建筑安全管理员。安全管理员应当具备房屋建筑结构和设施设备安全管理的专业知识。</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《北京市房屋建筑使用安全管理办法》第四条第三款</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住房城乡建设主管部门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bl>
    <w:p>
      <w:pPr>
        <w:snapToGrid w:val="0"/>
        <w:spacing w:line="20" w:lineRule="exact"/>
      </w:pPr>
    </w:p>
    <w:tbl>
      <w:tblPr>
        <w:tblStyle w:val="26"/>
        <w:tblW w:w="13608" w:type="dxa"/>
        <w:jc w:val="center"/>
        <w:tblLayout w:type="fixed"/>
        <w:tblCellMar>
          <w:top w:w="0" w:type="dxa"/>
          <w:left w:w="108" w:type="dxa"/>
          <w:bottom w:w="0" w:type="dxa"/>
          <w:right w:w="108" w:type="dxa"/>
        </w:tblCellMar>
      </w:tblPr>
      <w:tblGrid>
        <w:gridCol w:w="432"/>
        <w:gridCol w:w="1038"/>
        <w:gridCol w:w="1489"/>
        <w:gridCol w:w="1455"/>
        <w:gridCol w:w="2718"/>
        <w:gridCol w:w="1287"/>
        <w:gridCol w:w="646"/>
        <w:gridCol w:w="761"/>
        <w:gridCol w:w="726"/>
        <w:gridCol w:w="1466"/>
        <w:gridCol w:w="461"/>
        <w:gridCol w:w="357"/>
        <w:gridCol w:w="415"/>
        <w:gridCol w:w="357"/>
      </w:tblGrid>
      <w:tr>
        <w:tblPrEx>
          <w:tblCellMar>
            <w:top w:w="0" w:type="dxa"/>
            <w:left w:w="108" w:type="dxa"/>
            <w:bottom w:w="0" w:type="dxa"/>
            <w:right w:w="108" w:type="dxa"/>
          </w:tblCellMar>
        </w:tblPrEx>
        <w:trPr>
          <w:trHeight w:val="719" w:hRule="atLeast"/>
          <w:jc w:val="center"/>
        </w:trPr>
        <w:tc>
          <w:tcPr>
            <w:tcW w:w="13608"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pPr>
              <w:pStyle w:val="5"/>
              <w:jc w:val="center"/>
              <w:rPr>
                <w:rFonts w:ascii="等线" w:hAnsi="等线" w:cs="等线"/>
                <w:color w:val="000000" w:themeColor="text1"/>
                <w:sz w:val="22"/>
                <w:szCs w:val="22"/>
              </w:rPr>
            </w:pPr>
            <w:bookmarkStart w:id="184" w:name="_Toc150435306"/>
            <w:r>
              <w:rPr>
                <w:rFonts w:hint="eastAsia"/>
                <w:color w:val="000000" w:themeColor="text1"/>
              </w:rPr>
              <w:t>地下空间管理方面</w:t>
            </w:r>
            <w:bookmarkEnd w:id="184"/>
          </w:p>
        </w:tc>
      </w:tr>
      <w:tr>
        <w:tblPrEx>
          <w:tblCellMar>
            <w:top w:w="0" w:type="dxa"/>
            <w:left w:w="108" w:type="dxa"/>
            <w:bottom w:w="0" w:type="dxa"/>
            <w:right w:w="108" w:type="dxa"/>
          </w:tblCellMar>
        </w:tblPrEx>
        <w:trPr>
          <w:trHeight w:val="538" w:hRule="atLeast"/>
          <w:jc w:val="center"/>
        </w:trPr>
        <w:tc>
          <w:tcPr>
            <w:tcW w:w="432"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b/>
                <w:bCs/>
                <w:color w:val="000000" w:themeColor="text1"/>
                <w:kern w:val="0"/>
                <w:sz w:val="22"/>
              </w:rPr>
            </w:pPr>
            <w:r>
              <w:rPr>
                <w:rFonts w:hint="eastAsia" w:ascii="黑体" w:hAnsi="宋体" w:eastAsia="黑体" w:cs="黑体"/>
                <w:b/>
                <w:bCs/>
                <w:color w:val="000000" w:themeColor="text1"/>
                <w:kern w:val="0"/>
                <w:szCs w:val="21"/>
              </w:rPr>
              <w:t>序号</w:t>
            </w:r>
          </w:p>
        </w:tc>
        <w:tc>
          <w:tcPr>
            <w:tcW w:w="1038"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b/>
                <w:bCs/>
                <w:color w:val="000000" w:themeColor="text1"/>
                <w:kern w:val="0"/>
                <w:sz w:val="22"/>
              </w:rPr>
            </w:pPr>
            <w:r>
              <w:rPr>
                <w:rFonts w:hint="eastAsia" w:ascii="黑体" w:hAnsi="宋体" w:eastAsia="黑体" w:cs="黑体"/>
                <w:b/>
                <w:bCs/>
                <w:color w:val="000000" w:themeColor="text1"/>
                <w:kern w:val="0"/>
                <w:szCs w:val="21"/>
              </w:rPr>
              <w:t>检查事项</w:t>
            </w:r>
          </w:p>
        </w:tc>
        <w:tc>
          <w:tcPr>
            <w:tcW w:w="1489"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b/>
                <w:bCs/>
                <w:color w:val="000000" w:themeColor="text1"/>
                <w:kern w:val="0"/>
                <w:sz w:val="22"/>
              </w:rPr>
            </w:pPr>
            <w:r>
              <w:rPr>
                <w:rFonts w:hint="eastAsia" w:ascii="黑体" w:hAnsi="宋体" w:eastAsia="黑体" w:cs="黑体"/>
                <w:b/>
                <w:bCs/>
                <w:color w:val="000000" w:themeColor="text1"/>
                <w:kern w:val="0"/>
                <w:szCs w:val="21"/>
              </w:rPr>
              <w:t>检查子事项</w:t>
            </w:r>
          </w:p>
        </w:tc>
        <w:tc>
          <w:tcPr>
            <w:tcW w:w="1455"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b/>
                <w:bCs/>
                <w:color w:val="000000" w:themeColor="text1"/>
                <w:kern w:val="0"/>
                <w:sz w:val="20"/>
                <w:szCs w:val="20"/>
              </w:rPr>
            </w:pPr>
            <w:r>
              <w:rPr>
                <w:rFonts w:hint="eastAsia" w:ascii="黑体" w:hAnsi="宋体" w:eastAsia="黑体" w:cs="黑体"/>
                <w:b/>
                <w:bCs/>
                <w:color w:val="000000" w:themeColor="text1"/>
                <w:kern w:val="0"/>
                <w:szCs w:val="21"/>
              </w:rPr>
              <w:t>检查内容</w:t>
            </w:r>
          </w:p>
        </w:tc>
        <w:tc>
          <w:tcPr>
            <w:tcW w:w="2718"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宋体"/>
                <w:b/>
                <w:bCs/>
                <w:color w:val="000000" w:themeColor="text1"/>
                <w:kern w:val="0"/>
                <w:sz w:val="20"/>
                <w:szCs w:val="20"/>
              </w:rPr>
            </w:pPr>
            <w:r>
              <w:rPr>
                <w:rFonts w:hint="eastAsia" w:ascii="黑体" w:hAnsi="宋体" w:eastAsia="黑体" w:cs="黑体"/>
                <w:b/>
                <w:bCs/>
                <w:color w:val="000000" w:themeColor="text1"/>
                <w:kern w:val="0"/>
                <w:szCs w:val="21"/>
              </w:rPr>
              <w:t>合格标准</w:t>
            </w:r>
          </w:p>
        </w:tc>
        <w:tc>
          <w:tcPr>
            <w:tcW w:w="1287"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宋体"/>
                <w:b/>
                <w:bCs/>
                <w:color w:val="000000" w:themeColor="text1"/>
                <w:kern w:val="0"/>
                <w:sz w:val="20"/>
                <w:szCs w:val="20"/>
              </w:rPr>
            </w:pPr>
            <w:r>
              <w:rPr>
                <w:rFonts w:hint="eastAsia" w:ascii="黑体" w:hAnsi="宋体" w:eastAsia="黑体" w:cs="黑体"/>
                <w:b/>
                <w:bCs/>
                <w:color w:val="000000" w:themeColor="text1"/>
                <w:kern w:val="0"/>
                <w:szCs w:val="21"/>
              </w:rPr>
              <w:t>标准对应的依据</w:t>
            </w:r>
          </w:p>
        </w:tc>
        <w:tc>
          <w:tcPr>
            <w:tcW w:w="646"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b/>
                <w:bCs/>
                <w:color w:val="000000" w:themeColor="text1"/>
                <w:kern w:val="0"/>
                <w:sz w:val="20"/>
                <w:szCs w:val="20"/>
              </w:rPr>
            </w:pPr>
            <w:r>
              <w:rPr>
                <w:rFonts w:hint="eastAsia" w:ascii="黑体" w:hAnsi="宋体" w:eastAsia="黑体" w:cs="黑体"/>
                <w:b/>
                <w:bCs/>
                <w:color w:val="000000" w:themeColor="text1"/>
                <w:kern w:val="0"/>
                <w:szCs w:val="21"/>
              </w:rPr>
              <w:t>监管部门</w:t>
            </w:r>
          </w:p>
        </w:tc>
        <w:tc>
          <w:tcPr>
            <w:tcW w:w="761" w:type="dxa"/>
            <w:vMerge w:val="restart"/>
            <w:tcBorders>
              <w:top w:val="single" w:color="000000" w:sz="4" w:space="0"/>
              <w:left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b/>
                <w:bCs/>
                <w:color w:val="000000" w:themeColor="text1"/>
                <w:kern w:val="0"/>
                <w:sz w:val="20"/>
                <w:szCs w:val="20"/>
              </w:rPr>
            </w:pPr>
            <w:r>
              <w:rPr>
                <w:rFonts w:hint="eastAsia" w:ascii="黑体" w:hAnsi="宋体" w:eastAsia="黑体" w:cs="黑体"/>
                <w:b/>
                <w:bCs/>
                <w:color w:val="000000" w:themeColor="text1"/>
                <w:kern w:val="0"/>
                <w:szCs w:val="21"/>
              </w:rPr>
              <w:t>检查层级</w:t>
            </w:r>
          </w:p>
        </w:tc>
        <w:tc>
          <w:tcPr>
            <w:tcW w:w="726"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b/>
                <w:bCs/>
                <w:color w:val="000000" w:themeColor="text1"/>
                <w:kern w:val="0"/>
                <w:sz w:val="22"/>
              </w:rPr>
            </w:pPr>
            <w:r>
              <w:rPr>
                <w:rFonts w:hint="eastAsia" w:ascii="黑体" w:hAnsi="宋体" w:eastAsia="黑体" w:cs="黑体"/>
                <w:b/>
                <w:bCs/>
                <w:color w:val="000000" w:themeColor="text1"/>
                <w:kern w:val="0"/>
                <w:szCs w:val="21"/>
              </w:rPr>
              <w:t>检查方法</w:t>
            </w:r>
          </w:p>
        </w:tc>
        <w:tc>
          <w:tcPr>
            <w:tcW w:w="1466"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b/>
                <w:bCs/>
                <w:color w:val="000000" w:themeColor="text1"/>
                <w:kern w:val="0"/>
                <w:sz w:val="22"/>
              </w:rPr>
            </w:pPr>
            <w:r>
              <w:rPr>
                <w:rFonts w:hint="eastAsia" w:ascii="黑体" w:hAnsi="宋体" w:eastAsia="黑体" w:cs="黑体"/>
                <w:b/>
                <w:bCs/>
                <w:color w:val="000000" w:themeColor="text1"/>
                <w:kern w:val="0"/>
                <w:szCs w:val="21"/>
              </w:rPr>
              <w:t>检查结果</w:t>
            </w:r>
          </w:p>
        </w:tc>
        <w:tc>
          <w:tcPr>
            <w:tcW w:w="159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b/>
                <w:bCs/>
                <w:color w:val="000000" w:themeColor="text1"/>
                <w:kern w:val="0"/>
                <w:sz w:val="22"/>
              </w:rPr>
            </w:pPr>
            <w:r>
              <w:rPr>
                <w:rFonts w:ascii="宋体" w:hAnsi="宋体" w:eastAsia="宋体" w:cs="宋体"/>
                <w:b/>
                <w:bCs/>
                <w:color w:val="000000" w:themeColor="text1"/>
                <w:kern w:val="0"/>
                <w:sz w:val="20"/>
                <w:szCs w:val="20"/>
              </w:rPr>
              <w:t>检查项分级标注</w:t>
            </w:r>
          </w:p>
        </w:tc>
      </w:tr>
      <w:tr>
        <w:tblPrEx>
          <w:tblCellMar>
            <w:top w:w="0" w:type="dxa"/>
            <w:left w:w="108" w:type="dxa"/>
            <w:bottom w:w="0" w:type="dxa"/>
            <w:right w:w="108" w:type="dxa"/>
          </w:tblCellMar>
        </w:tblPrEx>
        <w:trPr>
          <w:trHeight w:val="520" w:hRule="atLeast"/>
          <w:jc w:val="center"/>
        </w:trPr>
        <w:tc>
          <w:tcPr>
            <w:tcW w:w="432"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b/>
                <w:bCs/>
                <w:color w:val="000000" w:themeColor="text1"/>
              </w:rPr>
            </w:pPr>
          </w:p>
        </w:tc>
        <w:tc>
          <w:tcPr>
            <w:tcW w:w="1038"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b/>
                <w:bCs/>
                <w:color w:val="000000" w:themeColor="text1"/>
              </w:rPr>
            </w:pPr>
          </w:p>
        </w:tc>
        <w:tc>
          <w:tcPr>
            <w:tcW w:w="1489"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b/>
                <w:bCs/>
                <w:color w:val="000000" w:themeColor="text1"/>
              </w:rPr>
            </w:pPr>
          </w:p>
        </w:tc>
        <w:tc>
          <w:tcPr>
            <w:tcW w:w="1455"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b/>
                <w:bCs/>
                <w:color w:val="000000" w:themeColor="text1"/>
              </w:rPr>
            </w:pPr>
          </w:p>
        </w:tc>
        <w:tc>
          <w:tcPr>
            <w:tcW w:w="2718"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b/>
                <w:bCs/>
                <w:color w:val="000000" w:themeColor="text1"/>
              </w:rPr>
            </w:pPr>
          </w:p>
        </w:tc>
        <w:tc>
          <w:tcPr>
            <w:tcW w:w="1287"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b/>
                <w:bCs/>
                <w:color w:val="000000" w:themeColor="text1"/>
              </w:rPr>
            </w:pPr>
          </w:p>
        </w:tc>
        <w:tc>
          <w:tcPr>
            <w:tcW w:w="646"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b/>
                <w:bCs/>
                <w:color w:val="000000" w:themeColor="text1"/>
              </w:rPr>
            </w:pPr>
          </w:p>
        </w:tc>
        <w:tc>
          <w:tcPr>
            <w:tcW w:w="761" w:type="dxa"/>
            <w:vMerge w:val="continue"/>
            <w:tcBorders>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b/>
                <w:bCs/>
                <w:color w:val="000000" w:themeColor="text1"/>
              </w:rPr>
            </w:pPr>
          </w:p>
        </w:tc>
        <w:tc>
          <w:tcPr>
            <w:tcW w:w="726"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b/>
                <w:bCs/>
                <w:color w:val="000000" w:themeColor="text1"/>
              </w:rPr>
            </w:pPr>
          </w:p>
        </w:tc>
        <w:tc>
          <w:tcPr>
            <w:tcW w:w="1466"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b/>
                <w:bCs/>
                <w:color w:val="000000" w:themeColor="text1"/>
              </w:rPr>
            </w:pPr>
          </w:p>
        </w:tc>
        <w:tc>
          <w:tcPr>
            <w:tcW w:w="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b/>
                <w:bCs/>
                <w:color w:val="000000" w:themeColor="text1"/>
                <w:kern w:val="0"/>
                <w:sz w:val="22"/>
              </w:rPr>
            </w:pPr>
            <w:r>
              <w:rPr>
                <w:rFonts w:hint="eastAsia" w:ascii="黑体" w:hAnsi="宋体" w:eastAsia="黑体" w:cs="黑体"/>
                <w:b/>
                <w:bCs/>
                <w:color w:val="000000" w:themeColor="text1"/>
                <w:kern w:val="0"/>
                <w:sz w:val="20"/>
                <w:szCs w:val="20"/>
              </w:rPr>
              <w:t>A</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b/>
                <w:bCs/>
                <w:color w:val="000000" w:themeColor="text1"/>
                <w:kern w:val="0"/>
                <w:sz w:val="22"/>
              </w:rPr>
            </w:pPr>
            <w:r>
              <w:rPr>
                <w:rFonts w:hint="eastAsia" w:ascii="黑体" w:hAnsi="宋体" w:eastAsia="黑体" w:cs="黑体"/>
                <w:b/>
                <w:bCs/>
                <w:color w:val="000000" w:themeColor="text1"/>
                <w:kern w:val="0"/>
                <w:sz w:val="20"/>
                <w:szCs w:val="20"/>
              </w:rPr>
              <w:t>B</w:t>
            </w:r>
          </w:p>
        </w:tc>
        <w:tc>
          <w:tcPr>
            <w:tcW w:w="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b/>
                <w:bCs/>
                <w:color w:val="000000" w:themeColor="text1"/>
                <w:kern w:val="0"/>
                <w:sz w:val="22"/>
              </w:rPr>
            </w:pPr>
            <w:r>
              <w:rPr>
                <w:rFonts w:hint="eastAsia" w:ascii="黑体" w:hAnsi="宋体" w:eastAsia="黑体" w:cs="黑体"/>
                <w:b/>
                <w:bCs/>
                <w:color w:val="000000" w:themeColor="text1"/>
                <w:kern w:val="0"/>
                <w:sz w:val="20"/>
                <w:szCs w:val="20"/>
              </w:rPr>
              <w:t>C</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b/>
                <w:bCs/>
                <w:color w:val="000000" w:themeColor="text1"/>
                <w:kern w:val="0"/>
                <w:sz w:val="22"/>
              </w:rPr>
            </w:pPr>
            <w:r>
              <w:rPr>
                <w:rFonts w:hint="eastAsia" w:ascii="黑体" w:hAnsi="宋体" w:eastAsia="黑体" w:cs="黑体"/>
                <w:b/>
                <w:bCs/>
                <w:color w:val="000000" w:themeColor="text1"/>
                <w:kern w:val="0"/>
                <w:sz w:val="20"/>
                <w:szCs w:val="20"/>
              </w:rPr>
              <w:t>D</w:t>
            </w:r>
          </w:p>
        </w:tc>
      </w:tr>
      <w:tr>
        <w:tblPrEx>
          <w:tblCellMar>
            <w:top w:w="0" w:type="dxa"/>
            <w:left w:w="108" w:type="dxa"/>
            <w:bottom w:w="0" w:type="dxa"/>
            <w:right w:w="108" w:type="dxa"/>
          </w:tblCellMar>
        </w:tblPrEx>
        <w:trPr>
          <w:trHeight w:val="1680" w:hRule="atLeast"/>
          <w:jc w:val="center"/>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ascii="宋体" w:hAnsi="宋体" w:eastAsia="宋体" w:cs="等线"/>
                <w:color w:val="000000" w:themeColor="text1"/>
                <w:kern w:val="0"/>
                <w:szCs w:val="21"/>
              </w:rPr>
              <w:t>1</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普通地下室容纳超员</w:t>
            </w:r>
          </w:p>
        </w:tc>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对地下空间使用人是否容纳超过核定人数进行检查</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地下空间内所容纳的人员是否超过核定人数</w:t>
            </w:r>
          </w:p>
        </w:tc>
        <w:tc>
          <w:tcPr>
            <w:tcW w:w="27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地下空间内所容纳的人员不得超过核定人数。核定人数的具体办法和标准，由市人民防空主管部门、住房城乡建设行政主管部门制定。</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《北京市人民防空工程和普通地下室安全使用管理办法》第六条第（九）项</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住房城乡建设主管部门</w:t>
            </w:r>
          </w:p>
        </w:tc>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trHeight w:val="1680" w:hRule="atLeast"/>
          <w:jc w:val="center"/>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2</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出租、使用普通地下室登记备案情况</w:t>
            </w:r>
          </w:p>
        </w:tc>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对普通地下室产权人和使用人是否依法向建设（房屋）行政主管部门登记备案进行检查</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出租、使用普通地下室是否依法向建设（房屋）行政主管部门登记备案</w:t>
            </w:r>
          </w:p>
        </w:tc>
        <w:tc>
          <w:tcPr>
            <w:tcW w:w="27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使用普通地下室从事商业、文化娱乐业以及其他生产经营活动或者作为居住场所的，装饰装修及使用前应当向普通地下室所在地区住房城乡建设行政主管部门办理备案。办理普通地下室备案时应当提交下列材料：</w:t>
            </w:r>
          </w:p>
          <w:p>
            <w:pPr>
              <w:widowControl/>
              <w:snapToGrid w:val="0"/>
              <w:ind w:firstLine="420" w:firstLineChars="20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（一）使用人对使用用途、范围和期限的说明；</w:t>
            </w:r>
          </w:p>
          <w:p>
            <w:pPr>
              <w:widowControl/>
              <w:snapToGrid w:val="0"/>
              <w:ind w:firstLine="420" w:firstLineChars="20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（二）产权登记证明或者所有权人共同决定使用普通地下室的证明；</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《北京市人民防空工程和普通地下室安全使用管理办法》第十五条</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住房城乡建设主管部门</w:t>
            </w:r>
          </w:p>
        </w:tc>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市、区</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现场检查</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□未发现问题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□不涉及</w:t>
            </w:r>
          </w:p>
        </w:tc>
        <w:tc>
          <w:tcPr>
            <w:tcW w:w="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r>
      <w:tr>
        <w:tblPrEx>
          <w:tblCellMar>
            <w:top w:w="0" w:type="dxa"/>
            <w:left w:w="108" w:type="dxa"/>
            <w:bottom w:w="0" w:type="dxa"/>
            <w:right w:w="108" w:type="dxa"/>
          </w:tblCellMar>
        </w:tblPrEx>
        <w:trPr>
          <w:trHeight w:val="5018" w:hRule="atLeast"/>
          <w:jc w:val="center"/>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p>
        </w:tc>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p>
        </w:tc>
        <w:tc>
          <w:tcPr>
            <w:tcW w:w="27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（三）按规划用途使用的，提交规划文件；规划用途不明确的，提交城乡规划行政主管部门对使用用途确认的文件；改变规划用途的，提交城乡规划行政主管部门变更规划文件；</w:t>
            </w:r>
          </w:p>
          <w:p>
            <w:pPr>
              <w:widowControl/>
              <w:snapToGrid w:val="0"/>
              <w:ind w:firstLine="420" w:firstLineChars="20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（四）卫生计生行政主管部门检查合格证明或者具有相应资质的检测机构出具的通风系统和空调系统卫生检测合格证明；</w:t>
            </w:r>
          </w:p>
          <w:p>
            <w:pPr>
              <w:widowControl/>
              <w:snapToGrid w:val="0"/>
              <w:ind w:firstLine="420" w:firstLineChars="20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（五）依法须经消防安全检查方可投入使用、营业的，提交公安消防机构出具的消防安全检查合格证明；</w:t>
            </w:r>
          </w:p>
          <w:p>
            <w:pPr>
              <w:widowControl/>
              <w:snapToGrid w:val="0"/>
              <w:ind w:firstLine="420" w:firstLineChars="20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（六）进行结构改造的，提交房屋安全鉴定机构出具的房屋结构安全鉴定报告；</w:t>
            </w:r>
          </w:p>
          <w:p>
            <w:pPr>
              <w:widowControl/>
              <w:snapToGrid w:val="0"/>
              <w:ind w:firstLine="420" w:firstLineChars="20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（七）应当提交的其他文件。</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p>
        </w:tc>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p>
        </w:tc>
        <w:tc>
          <w:tcPr>
            <w:tcW w:w="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p>
        </w:tc>
        <w:tc>
          <w:tcPr>
            <w:tcW w:w="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p>
        </w:tc>
      </w:tr>
      <w:tr>
        <w:tblPrEx>
          <w:tblCellMar>
            <w:top w:w="0" w:type="dxa"/>
            <w:left w:w="108" w:type="dxa"/>
            <w:bottom w:w="0" w:type="dxa"/>
            <w:right w:w="108" w:type="dxa"/>
          </w:tblCellMar>
        </w:tblPrEx>
        <w:trPr>
          <w:trHeight w:val="3067" w:hRule="atLeast"/>
          <w:jc w:val="center"/>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r>
              <w:rPr>
                <w:rFonts w:cs="等线" w:asciiTheme="minorEastAsia" w:hAnsiTheme="minorEastAsia"/>
                <w:color w:val="000000" w:themeColor="text1"/>
                <w:kern w:val="0"/>
                <w:szCs w:val="21"/>
              </w:rPr>
              <w:t>3</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普通地下室入口处设置使用标志牌</w:t>
            </w:r>
          </w:p>
        </w:tc>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对物业服务人是否在地下空间入口处设置人民防空主管部门、住建房管部门制发的人民防空工程、普通地下室使用标志牌进行检查</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是否在地下空间的入口处设置人民防空主管部门、住建房管部门制发的人民防空工程、普通地下室使用标志牌</w:t>
            </w:r>
          </w:p>
        </w:tc>
        <w:tc>
          <w:tcPr>
            <w:tcW w:w="27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在地下空间的入口处设置人民防空主管部门、住房城乡建设行政主管部门制发的人民防空工程、普通地下室使用标志牌。</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《北京市人民防空工程和普通地下室安全使用管理办法》第五条第（六）项</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住房城乡建设主管部门</w:t>
            </w:r>
          </w:p>
        </w:tc>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市、区</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现场检查</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□未发现问题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□不涉及</w:t>
            </w:r>
          </w:p>
        </w:tc>
        <w:tc>
          <w:tcPr>
            <w:tcW w:w="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r>
      <w:tr>
        <w:tblPrEx>
          <w:tblCellMar>
            <w:top w:w="0" w:type="dxa"/>
            <w:left w:w="108" w:type="dxa"/>
            <w:bottom w:w="0" w:type="dxa"/>
            <w:right w:w="108" w:type="dxa"/>
          </w:tblCellMar>
        </w:tblPrEx>
        <w:trPr>
          <w:trHeight w:val="3534" w:hRule="atLeast"/>
          <w:jc w:val="center"/>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r>
              <w:rPr>
                <w:rFonts w:cs="等线" w:asciiTheme="minorEastAsia" w:hAnsiTheme="minorEastAsia"/>
                <w:color w:val="000000" w:themeColor="text1"/>
                <w:kern w:val="0"/>
                <w:szCs w:val="21"/>
              </w:rPr>
              <w:t>4</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人防工程和普通地下室安全使用制度</w:t>
            </w:r>
          </w:p>
        </w:tc>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对地下空间的安全使用责任人利用地下空间，是否制定落实治安、消防、卫生、建筑等管理法律、法规、规章的具体措施进行检查</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地下空间的安全使用责任人利用地下空间，是否制定落实治安、消防、卫生、建筑等管理法律、法规、规章的具体措施</w:t>
            </w:r>
          </w:p>
        </w:tc>
        <w:tc>
          <w:tcPr>
            <w:tcW w:w="27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地下空间的安全使用责任人利用地下空间，应当遵守下列规定：制定落实治安、消防、卫生、建筑等管理法律、法规、规章的具体措施。</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《北京市人民防空工程和普通地下室安全使用管理办法》第五条第（一）项</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住房城乡建设主管部门</w:t>
            </w:r>
          </w:p>
        </w:tc>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市、区</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现场检查</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□未发现问题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□不涉及</w:t>
            </w:r>
          </w:p>
        </w:tc>
        <w:tc>
          <w:tcPr>
            <w:tcW w:w="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r>
      <w:tr>
        <w:tblPrEx>
          <w:tblCellMar>
            <w:top w:w="0" w:type="dxa"/>
            <w:left w:w="108" w:type="dxa"/>
            <w:bottom w:w="0" w:type="dxa"/>
            <w:right w:w="108" w:type="dxa"/>
          </w:tblCellMar>
        </w:tblPrEx>
        <w:trPr>
          <w:trHeight w:val="4179" w:hRule="atLeast"/>
          <w:jc w:val="center"/>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r>
              <w:rPr>
                <w:rFonts w:cs="等线" w:asciiTheme="minorEastAsia" w:hAnsiTheme="minorEastAsia"/>
                <w:color w:val="000000" w:themeColor="text1"/>
                <w:kern w:val="0"/>
                <w:szCs w:val="21"/>
              </w:rPr>
              <w:t>5</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人防工程和普通地下室安全责任制度</w:t>
            </w:r>
          </w:p>
        </w:tc>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对地下空间的安全使用责任人是否建立防火、防汛、治安、卫生等责任制度；发现使用人违反法律、法规、规章或者安全使用义务是否及时制止、纠正，向有关行政主管部门报告进行检查</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地下空间的安全使用责任人是否建立防火、防汛、治安、卫生等责任制度；发现使用人违反法律、法规、规章或者安全使用义务是否及时制止、纠正，向有关行政主管部门报告</w:t>
            </w:r>
          </w:p>
        </w:tc>
        <w:tc>
          <w:tcPr>
            <w:tcW w:w="27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地下空间的安全使用责任人利用地下空间，应当遵守下列规定：建立防火、防汛、治安、卫生等责任制度。提供给他人使用的，与使用人签订地下空间安全使用责任书，明确使用人对地下空间的安全使用义务，并对使用人履行义务的情况进行监督；发现使用人违反安全管理法律、法规、规章或者安全使用义务的，及时制止、纠正，并向有关行政主管部门报告。</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《北京市人民防空工程和普通地下室安全使用管理办法》第五条第（二）项</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住房城乡建设主管部门</w:t>
            </w:r>
          </w:p>
        </w:tc>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市、区</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现场检查</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□未发现问题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□不涉及</w:t>
            </w:r>
          </w:p>
        </w:tc>
        <w:tc>
          <w:tcPr>
            <w:tcW w:w="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r>
    </w:tbl>
    <w:p>
      <w:pPr>
        <w:rPr>
          <w:color w:val="000000" w:themeColor="text1"/>
        </w:rPr>
      </w:pPr>
      <w:r>
        <w:rPr>
          <w:color w:val="000000" w:themeColor="text1"/>
        </w:rPr>
        <w:br w:type="page"/>
      </w:r>
    </w:p>
    <w:tbl>
      <w:tblPr>
        <w:tblStyle w:val="26"/>
        <w:tblW w:w="13608" w:type="dxa"/>
        <w:jc w:val="center"/>
        <w:tblLayout w:type="fixed"/>
        <w:tblCellMar>
          <w:top w:w="0" w:type="dxa"/>
          <w:left w:w="108" w:type="dxa"/>
          <w:bottom w:w="0" w:type="dxa"/>
          <w:right w:w="108" w:type="dxa"/>
        </w:tblCellMar>
      </w:tblPr>
      <w:tblGrid>
        <w:gridCol w:w="431"/>
        <w:gridCol w:w="724"/>
        <w:gridCol w:w="1801"/>
        <w:gridCol w:w="331"/>
        <w:gridCol w:w="1123"/>
        <w:gridCol w:w="573"/>
        <w:gridCol w:w="2317"/>
        <w:gridCol w:w="1119"/>
        <w:gridCol w:w="646"/>
        <w:gridCol w:w="761"/>
        <w:gridCol w:w="726"/>
        <w:gridCol w:w="1466"/>
        <w:gridCol w:w="461"/>
        <w:gridCol w:w="357"/>
        <w:gridCol w:w="415"/>
        <w:gridCol w:w="357"/>
      </w:tblGrid>
      <w:tr>
        <w:tblPrEx>
          <w:tblCellMar>
            <w:top w:w="0" w:type="dxa"/>
            <w:left w:w="108" w:type="dxa"/>
            <w:bottom w:w="0" w:type="dxa"/>
            <w:right w:w="108" w:type="dxa"/>
          </w:tblCellMar>
        </w:tblPrEx>
        <w:trPr>
          <w:jc w:val="center"/>
        </w:trPr>
        <w:tc>
          <w:tcPr>
            <w:tcW w:w="13608"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pPr>
              <w:pStyle w:val="5"/>
              <w:jc w:val="center"/>
              <w:rPr>
                <w:rFonts w:ascii="等线" w:hAnsi="等线" w:cs="等线"/>
                <w:color w:val="000000" w:themeColor="text1"/>
                <w:sz w:val="22"/>
                <w:szCs w:val="22"/>
              </w:rPr>
            </w:pPr>
            <w:bookmarkStart w:id="185" w:name="_Toc150435307"/>
            <w:r>
              <w:rPr>
                <w:rFonts w:hint="eastAsia"/>
                <w:color w:val="000000" w:themeColor="text1"/>
              </w:rPr>
              <w:t>停车管理方面</w:t>
            </w:r>
            <w:bookmarkEnd w:id="185"/>
          </w:p>
        </w:tc>
      </w:tr>
      <w:tr>
        <w:tblPrEx>
          <w:tblCellMar>
            <w:top w:w="0" w:type="dxa"/>
            <w:left w:w="108" w:type="dxa"/>
            <w:bottom w:w="0" w:type="dxa"/>
            <w:right w:w="108" w:type="dxa"/>
          </w:tblCellMar>
        </w:tblPrEx>
        <w:trPr>
          <w:jc w:val="center"/>
        </w:trPr>
        <w:tc>
          <w:tcPr>
            <w:tcW w:w="431"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Cs w:val="21"/>
              </w:rPr>
              <w:t>序号</w:t>
            </w:r>
          </w:p>
        </w:tc>
        <w:tc>
          <w:tcPr>
            <w:tcW w:w="724"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Cs w:val="21"/>
              </w:rPr>
              <w:t>检查事项</w:t>
            </w:r>
          </w:p>
        </w:tc>
        <w:tc>
          <w:tcPr>
            <w:tcW w:w="2132" w:type="dxa"/>
            <w:gridSpan w:val="2"/>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Cs w:val="21"/>
              </w:rPr>
              <w:t>检查子事项</w:t>
            </w:r>
          </w:p>
        </w:tc>
        <w:tc>
          <w:tcPr>
            <w:tcW w:w="1696" w:type="dxa"/>
            <w:gridSpan w:val="2"/>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0"/>
                <w:szCs w:val="20"/>
              </w:rPr>
            </w:pPr>
            <w:r>
              <w:rPr>
                <w:rFonts w:hint="eastAsia" w:ascii="黑体" w:hAnsi="宋体" w:eastAsia="黑体" w:cs="黑体"/>
                <w:b/>
                <w:bCs/>
                <w:color w:val="000000" w:themeColor="text1"/>
                <w:kern w:val="0"/>
                <w:szCs w:val="21"/>
              </w:rPr>
              <w:t>检查内容</w:t>
            </w:r>
          </w:p>
        </w:tc>
        <w:tc>
          <w:tcPr>
            <w:tcW w:w="2317"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宋体"/>
                <w:color w:val="000000" w:themeColor="text1"/>
                <w:kern w:val="0"/>
                <w:sz w:val="20"/>
                <w:szCs w:val="20"/>
              </w:rPr>
            </w:pPr>
            <w:r>
              <w:rPr>
                <w:rFonts w:hint="eastAsia" w:ascii="黑体" w:hAnsi="宋体" w:eastAsia="黑体" w:cs="黑体"/>
                <w:b/>
                <w:bCs/>
                <w:color w:val="000000" w:themeColor="text1"/>
                <w:kern w:val="0"/>
                <w:szCs w:val="21"/>
              </w:rPr>
              <w:t>合格标准</w:t>
            </w:r>
          </w:p>
        </w:tc>
        <w:tc>
          <w:tcPr>
            <w:tcW w:w="1119"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宋体"/>
                <w:color w:val="000000" w:themeColor="text1"/>
                <w:kern w:val="0"/>
                <w:sz w:val="20"/>
                <w:szCs w:val="20"/>
              </w:rPr>
            </w:pPr>
            <w:r>
              <w:rPr>
                <w:rFonts w:hint="eastAsia" w:ascii="黑体" w:hAnsi="宋体" w:eastAsia="黑体" w:cs="黑体"/>
                <w:b/>
                <w:bCs/>
                <w:color w:val="000000" w:themeColor="text1"/>
                <w:kern w:val="0"/>
                <w:szCs w:val="21"/>
              </w:rPr>
              <w:t>标准对应的依据</w:t>
            </w:r>
          </w:p>
        </w:tc>
        <w:tc>
          <w:tcPr>
            <w:tcW w:w="646"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0"/>
                <w:szCs w:val="20"/>
              </w:rPr>
            </w:pPr>
            <w:r>
              <w:rPr>
                <w:rFonts w:hint="eastAsia" w:ascii="黑体" w:hAnsi="宋体" w:eastAsia="黑体" w:cs="黑体"/>
                <w:b/>
                <w:bCs/>
                <w:color w:val="000000" w:themeColor="text1"/>
                <w:kern w:val="0"/>
                <w:szCs w:val="21"/>
              </w:rPr>
              <w:t>监管部门</w:t>
            </w:r>
          </w:p>
        </w:tc>
        <w:tc>
          <w:tcPr>
            <w:tcW w:w="761" w:type="dxa"/>
            <w:vMerge w:val="restart"/>
            <w:tcBorders>
              <w:top w:val="single" w:color="000000" w:sz="4" w:space="0"/>
              <w:left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0"/>
                <w:szCs w:val="20"/>
              </w:rPr>
            </w:pPr>
            <w:r>
              <w:rPr>
                <w:rFonts w:hint="eastAsia" w:ascii="黑体" w:hAnsi="宋体" w:eastAsia="黑体" w:cs="黑体"/>
                <w:b/>
                <w:bCs/>
                <w:color w:val="000000" w:themeColor="text1"/>
                <w:kern w:val="0"/>
                <w:szCs w:val="21"/>
              </w:rPr>
              <w:t>检查层级</w:t>
            </w:r>
          </w:p>
        </w:tc>
        <w:tc>
          <w:tcPr>
            <w:tcW w:w="726"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Cs w:val="21"/>
              </w:rPr>
              <w:t>检查方法</w:t>
            </w:r>
          </w:p>
        </w:tc>
        <w:tc>
          <w:tcPr>
            <w:tcW w:w="1466"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Cs w:val="21"/>
              </w:rPr>
              <w:t>检查结果</w:t>
            </w:r>
          </w:p>
        </w:tc>
        <w:tc>
          <w:tcPr>
            <w:tcW w:w="159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2"/>
              </w:rPr>
            </w:pPr>
            <w:r>
              <w:rPr>
                <w:rFonts w:ascii="宋体" w:hAnsi="宋体" w:eastAsia="宋体" w:cs="宋体"/>
                <w:b/>
                <w:bCs/>
                <w:color w:val="000000" w:themeColor="text1"/>
                <w:kern w:val="0"/>
                <w:sz w:val="20"/>
                <w:szCs w:val="20"/>
              </w:rPr>
              <w:t>检查项分级标注</w:t>
            </w:r>
          </w:p>
        </w:tc>
      </w:tr>
      <w:tr>
        <w:tblPrEx>
          <w:tblCellMar>
            <w:top w:w="0" w:type="dxa"/>
            <w:left w:w="108" w:type="dxa"/>
            <w:bottom w:w="0" w:type="dxa"/>
            <w:right w:w="108" w:type="dxa"/>
          </w:tblCellMar>
        </w:tblPrEx>
        <w:trPr>
          <w:jc w:val="center"/>
        </w:trPr>
        <w:tc>
          <w:tcPr>
            <w:tcW w:w="431"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724"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2132" w:type="dxa"/>
            <w:gridSpan w:val="2"/>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1696" w:type="dxa"/>
            <w:gridSpan w:val="2"/>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2317"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1119"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646"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761" w:type="dxa"/>
            <w:vMerge w:val="continue"/>
            <w:tcBorders>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color w:val="000000" w:themeColor="text1"/>
              </w:rPr>
            </w:pPr>
          </w:p>
        </w:tc>
        <w:tc>
          <w:tcPr>
            <w:tcW w:w="726"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1466"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 w:val="20"/>
                <w:szCs w:val="20"/>
              </w:rPr>
              <w:t>A</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 w:val="20"/>
                <w:szCs w:val="20"/>
              </w:rPr>
              <w:t>B</w:t>
            </w:r>
          </w:p>
        </w:tc>
        <w:tc>
          <w:tcPr>
            <w:tcW w:w="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 w:val="20"/>
                <w:szCs w:val="20"/>
              </w:rPr>
              <w:t>C</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 w:val="20"/>
                <w:szCs w:val="20"/>
              </w:rPr>
              <w:t>D</w:t>
            </w:r>
          </w:p>
        </w:tc>
      </w:tr>
      <w:tr>
        <w:trPr>
          <w:jc w:val="center"/>
        </w:trPr>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center"/>
              <w:textAlignment w:val="center"/>
              <w:rPr>
                <w:rFonts w:ascii="宋体" w:hAnsi="宋体" w:eastAsia="宋体" w:cs="等线"/>
                <w:color w:val="000000" w:themeColor="text1"/>
                <w:szCs w:val="21"/>
              </w:rPr>
            </w:pPr>
            <w:r>
              <w:rPr>
                <w:rFonts w:ascii="宋体" w:hAnsi="宋体" w:eastAsia="宋体" w:cs="等线"/>
                <w:color w:val="000000" w:themeColor="text1"/>
                <w:kern w:val="0"/>
                <w:szCs w:val="21"/>
              </w:rPr>
              <w:t>1</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停车收费</w:t>
            </w:r>
          </w:p>
        </w:tc>
        <w:tc>
          <w:tcPr>
            <w:tcW w:w="21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对物业服务人是否按照规定程序调整居住小区停车收费价格进行检查</w:t>
            </w:r>
          </w:p>
        </w:tc>
        <w:tc>
          <w:tcPr>
            <w:tcW w:w="16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是否按照规定程序调整居住小区停车收费价格</w:t>
            </w:r>
          </w:p>
        </w:tc>
        <w:tc>
          <w:tcPr>
            <w:tcW w:w="23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调整居住小区内业主共有停车泊位的收费价格时，应当经专有部分占建筑物总面积过半数的业主且占总人数过半数的业主同意。违反规定，未按照规定程序调整居住小区停车收费价格的，由住房城乡建设部门责令限期改正，并处10万元罚款。</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《北京市机动车停车条例》第二十九条</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住房城乡建设主管部门</w:t>
            </w:r>
          </w:p>
        </w:tc>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center"/>
              <w:textAlignment w:val="center"/>
              <w:rPr>
                <w:rFonts w:ascii="宋体" w:hAnsi="宋体" w:eastAsia="宋体" w:cs="等线"/>
                <w:color w:val="000000" w:themeColor="text1"/>
                <w:szCs w:val="21"/>
              </w:rPr>
            </w:pPr>
            <w:r>
              <w:rPr>
                <w:rFonts w:ascii="宋体" w:hAnsi="宋体" w:eastAsia="宋体" w:cs="等线"/>
                <w:color w:val="000000" w:themeColor="text1"/>
                <w:kern w:val="0"/>
                <w:szCs w:val="21"/>
              </w:rPr>
              <w:t>2</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设置地桩、地锁等障碍物</w:t>
            </w:r>
          </w:p>
        </w:tc>
        <w:tc>
          <w:tcPr>
            <w:tcW w:w="21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检查在道路上和其他公共区域内设置固定或可移动障碍物阻碍机动车停放和通行；在未取得所有权和专属使用权的停车泊位上设置地桩、地锁等行为，以及物业服务企业物业管理协议和车位租赁协议中明示、统一管理等事项进行检查</w:t>
            </w:r>
          </w:p>
        </w:tc>
        <w:tc>
          <w:tcPr>
            <w:tcW w:w="16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是否有擅自在道路上和其他公共区域内设置固定或可移动障碍物阻碍机动车停放和通行；在未取得所有权和专属使用权的停车泊位上设置地桩、地锁等行为；物业管理协议和车位租赁协议中是否明示、统一管理等事项</w:t>
            </w:r>
          </w:p>
        </w:tc>
        <w:tc>
          <w:tcPr>
            <w:tcW w:w="23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道路上和其他公共区域内未设置固定或者可移动障碍物阻碍机动车停放和通行；未取得所有权和专属使用权的停车泊位上未设置地桩、地锁等行为；物业管理协议和车位租赁协议中明示、统一管理等事项进行检查。</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《北京市机动车停车条例》第二十六条</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住房城乡建设主管部门</w:t>
            </w:r>
          </w:p>
        </w:tc>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13608" w:type="dxa"/>
            <w:gridSpan w:val="16"/>
            <w:tcBorders>
              <w:top w:val="single" w:color="000000" w:sz="4" w:space="0"/>
              <w:left w:val="single" w:color="000000" w:sz="4" w:space="0"/>
              <w:right w:val="single" w:color="000000" w:sz="4" w:space="0"/>
            </w:tcBorders>
            <w:shd w:val="clear" w:color="auto" w:fill="auto"/>
            <w:vAlign w:val="center"/>
          </w:tcPr>
          <w:p>
            <w:pPr>
              <w:pStyle w:val="5"/>
              <w:jc w:val="center"/>
              <w:rPr>
                <w:rFonts w:ascii="宋体" w:cs="宋体"/>
                <w:color w:val="000000" w:themeColor="text1"/>
                <w:sz w:val="20"/>
                <w:szCs w:val="20"/>
              </w:rPr>
            </w:pPr>
            <w:r>
              <w:rPr>
                <w:color w:val="000000" w:themeColor="text1"/>
              </w:rPr>
              <w:br w:type="page"/>
            </w:r>
            <w:r>
              <w:rPr>
                <w:rFonts w:ascii="宋体" w:eastAsia="宋体"/>
                <w:color w:val="000000" w:themeColor="text1"/>
                <w:szCs w:val="21"/>
              </w:rPr>
              <w:br w:type="page"/>
            </w:r>
            <w:bookmarkStart w:id="186" w:name="_Toc150435308"/>
            <w:r>
              <w:rPr>
                <w:rFonts w:hint="eastAsia"/>
                <w:color w:val="000000" w:themeColor="text1"/>
              </w:rPr>
              <w:t>用水管理方面</w:t>
            </w:r>
            <w:bookmarkEnd w:id="186"/>
          </w:p>
        </w:tc>
      </w:tr>
      <w:tr>
        <w:tblPrEx>
          <w:tblCellMar>
            <w:top w:w="0" w:type="dxa"/>
            <w:left w:w="108" w:type="dxa"/>
            <w:bottom w:w="0" w:type="dxa"/>
            <w:right w:w="108" w:type="dxa"/>
          </w:tblCellMar>
        </w:tblPrEx>
        <w:trPr>
          <w:jc w:val="center"/>
        </w:trPr>
        <w:tc>
          <w:tcPr>
            <w:tcW w:w="431"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Cs w:val="21"/>
              </w:rPr>
              <w:t>序号</w:t>
            </w:r>
          </w:p>
        </w:tc>
        <w:tc>
          <w:tcPr>
            <w:tcW w:w="724"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0"/>
                <w:szCs w:val="20"/>
              </w:rPr>
            </w:pPr>
            <w:r>
              <w:rPr>
                <w:rFonts w:hint="eastAsia" w:ascii="黑体" w:hAnsi="宋体" w:eastAsia="黑体" w:cs="黑体"/>
                <w:b/>
                <w:bCs/>
                <w:color w:val="000000" w:themeColor="text1"/>
                <w:kern w:val="0"/>
                <w:szCs w:val="21"/>
              </w:rPr>
              <w:t>检查事项</w:t>
            </w:r>
          </w:p>
        </w:tc>
        <w:tc>
          <w:tcPr>
            <w:tcW w:w="1801"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0"/>
                <w:szCs w:val="20"/>
              </w:rPr>
            </w:pPr>
            <w:r>
              <w:rPr>
                <w:rFonts w:hint="eastAsia" w:ascii="黑体" w:hAnsi="宋体" w:eastAsia="黑体" w:cs="黑体"/>
                <w:b/>
                <w:bCs/>
                <w:color w:val="000000" w:themeColor="text1"/>
                <w:kern w:val="0"/>
                <w:szCs w:val="21"/>
              </w:rPr>
              <w:t>检查子事项</w:t>
            </w:r>
          </w:p>
        </w:tc>
        <w:tc>
          <w:tcPr>
            <w:tcW w:w="1454" w:type="dxa"/>
            <w:gridSpan w:val="2"/>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0"/>
                <w:szCs w:val="20"/>
              </w:rPr>
            </w:pPr>
            <w:r>
              <w:rPr>
                <w:rFonts w:hint="eastAsia" w:ascii="黑体" w:hAnsi="宋体" w:eastAsia="黑体" w:cs="黑体"/>
                <w:b/>
                <w:bCs/>
                <w:color w:val="000000" w:themeColor="text1"/>
                <w:kern w:val="0"/>
                <w:szCs w:val="21"/>
              </w:rPr>
              <w:t>检查内容</w:t>
            </w:r>
          </w:p>
        </w:tc>
        <w:tc>
          <w:tcPr>
            <w:tcW w:w="2890" w:type="dxa"/>
            <w:gridSpan w:val="2"/>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0"/>
                <w:szCs w:val="20"/>
              </w:rPr>
            </w:pPr>
            <w:r>
              <w:rPr>
                <w:rFonts w:hint="eastAsia" w:ascii="黑体" w:hAnsi="宋体" w:eastAsia="黑体" w:cs="黑体"/>
                <w:b/>
                <w:bCs/>
                <w:color w:val="000000" w:themeColor="text1"/>
                <w:kern w:val="0"/>
                <w:szCs w:val="21"/>
              </w:rPr>
              <w:t>合格标准</w:t>
            </w:r>
          </w:p>
        </w:tc>
        <w:tc>
          <w:tcPr>
            <w:tcW w:w="1119"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0"/>
                <w:szCs w:val="20"/>
              </w:rPr>
            </w:pPr>
            <w:r>
              <w:rPr>
                <w:rFonts w:hint="eastAsia" w:ascii="黑体" w:hAnsi="宋体" w:eastAsia="黑体" w:cs="黑体"/>
                <w:b/>
                <w:bCs/>
                <w:color w:val="000000" w:themeColor="text1"/>
                <w:kern w:val="0"/>
                <w:szCs w:val="21"/>
              </w:rPr>
              <w:t>标准对应的依据</w:t>
            </w:r>
          </w:p>
        </w:tc>
        <w:tc>
          <w:tcPr>
            <w:tcW w:w="646"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0"/>
                <w:szCs w:val="20"/>
              </w:rPr>
            </w:pPr>
            <w:r>
              <w:rPr>
                <w:rFonts w:hint="eastAsia" w:ascii="黑体" w:hAnsi="宋体" w:eastAsia="黑体" w:cs="黑体"/>
                <w:b/>
                <w:bCs/>
                <w:color w:val="000000" w:themeColor="text1"/>
                <w:kern w:val="0"/>
                <w:szCs w:val="21"/>
              </w:rPr>
              <w:t>监管部门</w:t>
            </w:r>
          </w:p>
        </w:tc>
        <w:tc>
          <w:tcPr>
            <w:tcW w:w="761" w:type="dxa"/>
            <w:vMerge w:val="restart"/>
            <w:tcBorders>
              <w:top w:val="single" w:color="000000" w:sz="4" w:space="0"/>
              <w:left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0"/>
                <w:szCs w:val="20"/>
              </w:rPr>
            </w:pPr>
            <w:r>
              <w:rPr>
                <w:rFonts w:hint="eastAsia" w:ascii="黑体" w:hAnsi="宋体" w:eastAsia="黑体" w:cs="黑体"/>
                <w:b/>
                <w:bCs/>
                <w:color w:val="000000" w:themeColor="text1"/>
                <w:kern w:val="0"/>
                <w:szCs w:val="21"/>
              </w:rPr>
              <w:t>检查层级</w:t>
            </w:r>
          </w:p>
        </w:tc>
        <w:tc>
          <w:tcPr>
            <w:tcW w:w="726"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Cs w:val="21"/>
              </w:rPr>
              <w:t>检查方法</w:t>
            </w:r>
          </w:p>
        </w:tc>
        <w:tc>
          <w:tcPr>
            <w:tcW w:w="1466"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Cs w:val="21"/>
              </w:rPr>
              <w:t>检查结果</w:t>
            </w:r>
          </w:p>
        </w:tc>
        <w:tc>
          <w:tcPr>
            <w:tcW w:w="159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2"/>
              </w:rPr>
            </w:pPr>
            <w:r>
              <w:rPr>
                <w:rFonts w:ascii="宋体" w:hAnsi="宋体" w:eastAsia="宋体" w:cs="宋体"/>
                <w:b/>
                <w:bCs/>
                <w:color w:val="000000" w:themeColor="text1"/>
                <w:kern w:val="0"/>
                <w:sz w:val="20"/>
                <w:szCs w:val="20"/>
              </w:rPr>
              <w:t>检查项分级标注</w:t>
            </w:r>
          </w:p>
        </w:tc>
      </w:tr>
      <w:tr>
        <w:trPr>
          <w:jc w:val="center"/>
        </w:trPr>
        <w:tc>
          <w:tcPr>
            <w:tcW w:w="431"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724"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1801"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1454" w:type="dxa"/>
            <w:gridSpan w:val="2"/>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2890" w:type="dxa"/>
            <w:gridSpan w:val="2"/>
            <w:vMerge w:val="continue"/>
            <w:tcBorders>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jc w:val="center"/>
              <w:textAlignment w:val="center"/>
              <w:rPr>
                <w:color w:val="000000" w:themeColor="text1"/>
              </w:rPr>
            </w:pPr>
          </w:p>
        </w:tc>
        <w:tc>
          <w:tcPr>
            <w:tcW w:w="1119"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646"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761" w:type="dxa"/>
            <w:vMerge w:val="continue"/>
            <w:tcBorders>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color w:val="000000" w:themeColor="text1"/>
              </w:rPr>
            </w:pPr>
          </w:p>
        </w:tc>
        <w:tc>
          <w:tcPr>
            <w:tcW w:w="726"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1466"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 w:val="20"/>
                <w:szCs w:val="20"/>
              </w:rPr>
              <w:t>A</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 w:val="20"/>
                <w:szCs w:val="20"/>
              </w:rPr>
              <w:t>B</w:t>
            </w:r>
          </w:p>
        </w:tc>
        <w:tc>
          <w:tcPr>
            <w:tcW w:w="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 w:val="20"/>
                <w:szCs w:val="20"/>
              </w:rPr>
              <w:t>C</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 w:val="20"/>
                <w:szCs w:val="20"/>
              </w:rPr>
              <w:t>D</w:t>
            </w:r>
          </w:p>
        </w:tc>
      </w:tr>
      <w:tr>
        <w:tblPrEx>
          <w:tblCellMar>
            <w:top w:w="0" w:type="dxa"/>
            <w:left w:w="108" w:type="dxa"/>
            <w:bottom w:w="0" w:type="dxa"/>
            <w:right w:w="108" w:type="dxa"/>
          </w:tblCellMar>
        </w:tblPrEx>
        <w:trPr>
          <w:jc w:val="center"/>
        </w:trPr>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ascii="宋体" w:hAnsi="宋体" w:eastAsia="宋体" w:cs="等线"/>
                <w:color w:val="000000" w:themeColor="text1"/>
                <w:kern w:val="0"/>
                <w:szCs w:val="21"/>
              </w:rPr>
              <w:t>1</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擅自取水行为</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对取水户是否取得取水许可的情况进行检查</w:t>
            </w:r>
          </w:p>
        </w:tc>
        <w:tc>
          <w:tcPr>
            <w:tcW w:w="14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是否向水行政主管部门或者流域管理机构申请领取取水许可证，并缴纳水资源费，取得取水权</w:t>
            </w:r>
          </w:p>
        </w:tc>
        <w:tc>
          <w:tcPr>
            <w:tcW w:w="28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直接从江河、湖泊或者地下取用水资源的单位和个人，应当按照国家取水许可制度和水资源有偿使用制度的规定，向水行政主管部门或者流域管理机构申请领取取水许可证，并缴纳水资源费，取得取水权。但是，家庭生活和零星散养、圈养畜禽饮用等少量取水的除外。</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《中华人民共和国水法》第六十九条第一项</w:t>
            </w:r>
          </w:p>
        </w:tc>
        <w:tc>
          <w:tcPr>
            <w:tcW w:w="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水务部门</w:t>
            </w:r>
          </w:p>
        </w:tc>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ascii="宋体" w:hAnsi="宋体" w:eastAsia="宋体" w:cs="等线"/>
                <w:color w:val="000000" w:themeColor="text1"/>
                <w:kern w:val="0"/>
                <w:szCs w:val="21"/>
              </w:rPr>
              <w:t>2</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擅自排放污水行为</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对排水户是否取得污水排入排水管网许可证的情况进行检查</w:t>
            </w:r>
          </w:p>
        </w:tc>
        <w:tc>
          <w:tcPr>
            <w:tcW w:w="14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从事工业、建筑、餐饮、医疗等活动的企业事业单位、个体工商户（以下称排水户）向城镇排水设施排放污水的，是否向城镇排水主管部门申请领取污水排入排水管网许可证</w:t>
            </w:r>
          </w:p>
        </w:tc>
        <w:tc>
          <w:tcPr>
            <w:tcW w:w="28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从事工业、建筑、餐饮、医疗等活动的企业事业单位、个体工商户（以下称排水户）向城镇排水设施排放污水的，应当向城镇排水主管部门申请领取污水排入排水管网许可证。城镇排水主管部门应当按照国家有关标准，重点对影响城镇排水与污水处理设施安全运行的事项进行审查。</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《城镇排水与污水处理条例》第五十条第一款</w:t>
            </w:r>
          </w:p>
        </w:tc>
        <w:tc>
          <w:tcPr>
            <w:tcW w:w="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水务部门</w:t>
            </w:r>
          </w:p>
        </w:tc>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3</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排水户拒不接受水质、水量监测或者妨碍、阻挠监督检查行为</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对排水户是否存在妨碍和阻挠依法进行的监督检查活动的情况进行检查</w:t>
            </w:r>
          </w:p>
        </w:tc>
        <w:tc>
          <w:tcPr>
            <w:tcW w:w="14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排水户是否接受水质、水量监测或者妨碍、阻挠城镇排水主管部门依法监督检查</w:t>
            </w:r>
          </w:p>
        </w:tc>
        <w:tc>
          <w:tcPr>
            <w:tcW w:w="28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城镇排水主管部门应当依照法律法规和本办法的规定，对排水户排放污水的情况实施监督检查。实施监督检查时，有权采取下列措施：</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（一）进入现场开展检查、监测；</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（二）要求被监督检查的排水户出示排水许可证；</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（三）查阅、复制有关文件和材料；</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（四）要求被监督检查的单位和个人就有关问题做出说明；</w:t>
            </w:r>
          </w:p>
          <w:p>
            <w:pPr>
              <w:widowControl/>
              <w:snapToGrid w:val="0"/>
              <w:ind w:firstLine="420" w:firstLineChars="20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（五）依法采取禁止排水户向城镇排水设施排放污水等措施，纠正违反有关法律、法规和本办法规定的行为。被监督检查的单位和个人应当予以配合，不得妨碍和阻挠依法进行的监督检查活动。</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《城镇污水排入排水管网许可管理办法》第三十二条</w:t>
            </w:r>
          </w:p>
        </w:tc>
        <w:tc>
          <w:tcPr>
            <w:tcW w:w="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水务部门</w:t>
            </w:r>
          </w:p>
        </w:tc>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rPr>
                <w:rFonts w:ascii="宋体" w:hAnsi="宋体" w:eastAsia="宋体" w:cs="等线"/>
                <w:color w:val="000000" w:themeColor="text1"/>
                <w:szCs w:val="21"/>
              </w:rPr>
            </w:pP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rPr>
                <w:rFonts w:ascii="宋体" w:hAnsi="宋体" w:eastAsia="宋体" w:cs="等线"/>
                <w:color w:val="000000" w:themeColor="text1"/>
                <w:szCs w:val="21"/>
              </w:rPr>
            </w:pPr>
          </w:p>
        </w:tc>
        <w:tc>
          <w:tcPr>
            <w:tcW w:w="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rPr>
          <w:jc w:val="center"/>
        </w:trPr>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ascii="宋体" w:hAnsi="宋体" w:eastAsia="宋体" w:cs="等线"/>
                <w:color w:val="000000" w:themeColor="text1"/>
                <w:kern w:val="0"/>
                <w:szCs w:val="21"/>
              </w:rPr>
              <w:t>4</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排水户不按照排水许可证的要求排放污水行为</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对排水户是否按照排水许可证要求排放污水的情况进行检查</w:t>
            </w:r>
          </w:p>
        </w:tc>
        <w:tc>
          <w:tcPr>
            <w:tcW w:w="14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排水户是否按照排水许可证确定的排水类别、总量、时限、排放口位置和数量、排放的污染物项目和浓度等要求排放污水</w:t>
            </w:r>
          </w:p>
        </w:tc>
        <w:tc>
          <w:tcPr>
            <w:tcW w:w="28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排水户应当按照污水排入排水管网许可证的要求排放污水。</w:t>
            </w:r>
          </w:p>
          <w:p>
            <w:pPr>
              <w:widowControl/>
              <w:snapToGrid w:val="0"/>
              <w:ind w:firstLine="420" w:firstLineChars="20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排水户应当按照排水许可证确定的排水类别、总量、时限、排放口位置和数量、排放的污染物项目和浓度等要求排放污水。</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《城镇排水与污水处理条例》第二十七条、第五十条第二款</w:t>
            </w:r>
          </w:p>
        </w:tc>
        <w:tc>
          <w:tcPr>
            <w:tcW w:w="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水务部门</w:t>
            </w:r>
          </w:p>
        </w:tc>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rPr>
                <w:rFonts w:ascii="宋体" w:hAnsi="宋体" w:eastAsia="宋体" w:cs="等线"/>
                <w:color w:val="000000" w:themeColor="text1"/>
                <w:szCs w:val="21"/>
              </w:rPr>
            </w:pP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rPr>
                <w:rFonts w:ascii="宋体" w:hAnsi="宋体" w:eastAsia="宋体" w:cs="等线"/>
                <w:color w:val="000000" w:themeColor="text1"/>
                <w:szCs w:val="21"/>
              </w:rPr>
            </w:pPr>
          </w:p>
        </w:tc>
        <w:tc>
          <w:tcPr>
            <w:tcW w:w="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ascii="宋体" w:hAnsi="宋体" w:eastAsia="宋体" w:cs="等线"/>
                <w:color w:val="000000" w:themeColor="text1"/>
                <w:kern w:val="0"/>
                <w:szCs w:val="21"/>
              </w:rPr>
              <w:t>5</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向排水管网排放超标污水的行为</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对排水户是否存在向排水管网排放超标污水、有毒有害及易燃易爆物质的情况进行检查</w:t>
            </w:r>
          </w:p>
        </w:tc>
        <w:tc>
          <w:tcPr>
            <w:tcW w:w="14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是否有下列损害排水和再生水设施的行为：向排水管网排放超标污水、有毒有害及易燃易爆物质</w:t>
            </w:r>
          </w:p>
        </w:tc>
        <w:tc>
          <w:tcPr>
            <w:tcW w:w="28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禁止下列损害排水和再生水设施的行为：向排水管网排放超标污水、有毒有害及易燃易爆物质。</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《北京市排水和再生水管理办法》第三十八条第（一）项</w:t>
            </w:r>
          </w:p>
        </w:tc>
        <w:tc>
          <w:tcPr>
            <w:tcW w:w="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水务部门</w:t>
            </w:r>
          </w:p>
        </w:tc>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rPr>
                <w:rFonts w:ascii="宋体" w:hAnsi="宋体" w:eastAsia="宋体" w:cs="等线"/>
                <w:color w:val="000000" w:themeColor="text1"/>
                <w:szCs w:val="21"/>
              </w:rPr>
            </w:pP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rPr>
                <w:rFonts w:ascii="宋体" w:hAnsi="宋体" w:eastAsia="宋体" w:cs="等线"/>
                <w:color w:val="000000" w:themeColor="text1"/>
                <w:szCs w:val="21"/>
              </w:rPr>
            </w:pPr>
          </w:p>
        </w:tc>
        <w:tc>
          <w:tcPr>
            <w:tcW w:w="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ascii="宋体" w:hAnsi="宋体" w:eastAsia="宋体" w:cs="等线"/>
                <w:color w:val="000000" w:themeColor="text1"/>
                <w:kern w:val="0"/>
                <w:szCs w:val="21"/>
              </w:rPr>
              <w:t>6</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擅自用水</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对用水单位是否未取得用水指标的情况进行检查；对未依法取得临时用水指标擅自用水情况进行检查</w:t>
            </w:r>
          </w:p>
        </w:tc>
        <w:tc>
          <w:tcPr>
            <w:tcW w:w="14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是否未取得用水指标</w:t>
            </w:r>
          </w:p>
        </w:tc>
        <w:tc>
          <w:tcPr>
            <w:tcW w:w="28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ind w:firstLine="420" w:firstLineChars="200"/>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非居民用水户应当按照规定向供水单位提供基本信息、用水信息，并按照登记的用水性质用水，遵守定额管理、计划用水管理等制度，按时足额缴费。</w:t>
            </w:r>
          </w:p>
          <w:p>
            <w:pPr>
              <w:pStyle w:val="47"/>
              <w:spacing w:after="0"/>
              <w:ind w:left="0" w:leftChars="0"/>
              <w:rPr>
                <w:rFonts w:ascii="宋体" w:hAnsi="宋体" w:cs="等线"/>
                <w:color w:val="000000" w:themeColor="text1"/>
                <w:kern w:val="0"/>
                <w:szCs w:val="21"/>
              </w:rPr>
            </w:pPr>
            <w:r>
              <w:rPr>
                <w:rFonts w:hint="eastAsia" w:ascii="宋体" w:hAnsi="宋体" w:cs="等线"/>
                <w:color w:val="000000" w:themeColor="text1"/>
                <w:kern w:val="0"/>
                <w:szCs w:val="21"/>
              </w:rPr>
              <w:t>本市对纳入取水许可管理的单位和用水量较大的非居民用水户用水实行计划用水管理和定额管理相结合的制度。水务部门按照年度生产生活用水计划、行业用水定额和用水户用水情况核算下达用水指标；无行业用水定额的，参照行业用水水平核算下达用水指标。用水可能超出用水指标时，水务部门应当给予警示；超出用水指标百分之二十的，水务部门应当督促、指导。</w:t>
            </w:r>
          </w:p>
          <w:p>
            <w:pPr>
              <w:ind w:firstLine="420" w:firstLineChars="200"/>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园林绿化、环境卫生、建筑施工等需要临时用水的，应当向水务部门申请临时用水指标。</w:t>
            </w:r>
          </w:p>
          <w:p>
            <w:pPr>
              <w:ind w:firstLine="420" w:firstLineChars="200"/>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违反本条例第二十九条第三款规定，用水单位未依法取得临时用水指标擅自用水的，由水务部门责令限期改正，处二万元以上十万元以下罚款。</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《北京市节水条例》二十九条、第六十一条</w:t>
            </w:r>
          </w:p>
        </w:tc>
        <w:tc>
          <w:tcPr>
            <w:tcW w:w="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水务部门</w:t>
            </w:r>
          </w:p>
        </w:tc>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ascii="宋体" w:hAnsi="宋体" w:eastAsia="宋体" w:cs="等线"/>
                <w:color w:val="000000" w:themeColor="text1"/>
                <w:kern w:val="0"/>
                <w:szCs w:val="21"/>
              </w:rPr>
              <w:t>7</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使用地下水或者自来水作为城市景观水体补水行为</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对住宅小区、单位内部景观用水和市政杂用水是否使用地下水或者自来水作为城市景观水体补水的情况进行检查</w:t>
            </w:r>
          </w:p>
        </w:tc>
        <w:tc>
          <w:tcPr>
            <w:tcW w:w="14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住宅小区、单位内部的景观环境用水和其他市政杂用用水是否使用自来水作为城市景观水体补水</w:t>
            </w:r>
          </w:p>
        </w:tc>
        <w:tc>
          <w:tcPr>
            <w:tcW w:w="28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ind w:firstLine="420" w:firstLineChars="200"/>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住宅小区、单位内部的景观用水禁止使用地下水、自来水。</w:t>
            </w:r>
          </w:p>
          <w:p>
            <w:pPr>
              <w:ind w:firstLine="420" w:firstLineChars="200"/>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再生水输配管网覆盖范围内的用水户，符合下列情形之一的，应当使用再生水：（三）公共区域、住宅小区和单位内部的景观用水。</w:t>
            </w:r>
          </w:p>
          <w:p>
            <w:pPr>
              <w:ind w:firstLine="420" w:firstLineChars="200"/>
              <w:rPr>
                <w:rFonts w:ascii="仿宋_GB2312" w:hAnsi="仿宋_GB2312" w:eastAsia="仿宋_GB2312" w:cs="仿宋_GB2312"/>
                <w:color w:val="000000" w:themeColor="text1"/>
                <w:sz w:val="32"/>
                <w:szCs w:val="32"/>
              </w:rPr>
            </w:pPr>
            <w:r>
              <w:rPr>
                <w:rFonts w:hint="eastAsia" w:ascii="宋体" w:hAnsi="宋体" w:eastAsia="宋体" w:cs="等线"/>
                <w:color w:val="000000" w:themeColor="text1"/>
                <w:kern w:val="0"/>
                <w:szCs w:val="21"/>
              </w:rPr>
              <w:t>违反本条例第三十五条第三款规定，住宅小区、单位内部的景观用水使用地下水、自来水的，由水务部门责令限期改正；逾期不改正的，处一万元以上三万元以下罚款。</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《北京市节水条例》第三十五条第二款、第四十三条第三项、第六十四条第二款</w:t>
            </w:r>
          </w:p>
        </w:tc>
        <w:tc>
          <w:tcPr>
            <w:tcW w:w="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水务部门</w:t>
            </w:r>
          </w:p>
        </w:tc>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rPr>
                <w:rFonts w:ascii="宋体" w:hAnsi="宋体" w:eastAsia="宋体" w:cs="等线"/>
                <w:color w:val="000000" w:themeColor="text1"/>
                <w:szCs w:val="21"/>
              </w:rPr>
            </w:pP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rPr>
                <w:rFonts w:ascii="宋体" w:hAnsi="宋体" w:eastAsia="宋体" w:cs="等线"/>
                <w:color w:val="000000" w:themeColor="text1"/>
                <w:szCs w:val="21"/>
              </w:rPr>
            </w:pPr>
          </w:p>
        </w:tc>
        <w:tc>
          <w:tcPr>
            <w:tcW w:w="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rPr>
          <w:jc w:val="center"/>
        </w:trPr>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ascii="宋体" w:hAnsi="宋体" w:eastAsia="宋体" w:cs="等线"/>
                <w:color w:val="000000" w:themeColor="text1"/>
                <w:kern w:val="0"/>
                <w:szCs w:val="21"/>
              </w:rPr>
              <w:t>8</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节约用水</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对用水单位是否制定并落实节水措施的情况进行检查</w:t>
            </w:r>
          </w:p>
        </w:tc>
        <w:tc>
          <w:tcPr>
            <w:tcW w:w="14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用水单位是否安装、使用循环用水设施</w:t>
            </w:r>
          </w:p>
        </w:tc>
        <w:tc>
          <w:tcPr>
            <w:tcW w:w="28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ind w:firstLine="420" w:firstLineChars="200"/>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服务业用水单位应当制定并落实节水措施，按照规定安装、使用循环用水设施。</w:t>
            </w:r>
          </w:p>
          <w:p>
            <w:pPr>
              <w:ind w:firstLine="420" w:firstLineChars="200"/>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本条例第三十七条第一款规定，服务业用水单位未按照规定安装、使用循环用水设施的，由水务部门责令限期改正；逾期不改正的，处一千元以上一万元以下罚款。</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《北京市节水条例》第三十七条、第六十六条</w:t>
            </w:r>
          </w:p>
        </w:tc>
        <w:tc>
          <w:tcPr>
            <w:tcW w:w="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水务部门</w:t>
            </w:r>
          </w:p>
        </w:tc>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rPr>
                <w:rFonts w:ascii="宋体" w:hAnsi="宋体" w:eastAsia="宋体" w:cs="等线"/>
                <w:color w:val="000000" w:themeColor="text1"/>
                <w:szCs w:val="21"/>
              </w:rPr>
            </w:pP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rPr>
                <w:rFonts w:ascii="宋体" w:hAnsi="宋体" w:eastAsia="宋体" w:cs="等线"/>
                <w:color w:val="000000" w:themeColor="text1"/>
                <w:szCs w:val="21"/>
              </w:rPr>
            </w:pPr>
          </w:p>
        </w:tc>
        <w:tc>
          <w:tcPr>
            <w:tcW w:w="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ascii="宋体" w:hAnsi="宋体" w:eastAsia="宋体" w:cs="等线"/>
                <w:color w:val="000000" w:themeColor="text1"/>
                <w:kern w:val="0"/>
                <w:szCs w:val="21"/>
              </w:rPr>
              <w:t>9</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对擅自拆除、改装或者迁移城市公共供水设施等行为</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对是否存在擅自拆除、改装或者迁移城市公共供水设施或者拆卸、挪动公共供水设施以及除紧急需要擅自动用消火栓的情况进行检查</w:t>
            </w:r>
          </w:p>
        </w:tc>
        <w:tc>
          <w:tcPr>
            <w:tcW w:w="14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是否擅自拆除、改装或者迁移城市公共供水设施或者启动、拆卸、挪动公共供水设施以及除紧急需要擅自动用消火栓</w:t>
            </w:r>
          </w:p>
        </w:tc>
        <w:tc>
          <w:tcPr>
            <w:tcW w:w="28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公用消火栓由供水企业负责维修管理，公安机关消防机构负责监督检查。除发生火灾时，任何单位和个人不得动用。</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对违反本办法的其他行为，由城市公共供水工作的主管机关按照下列规定给予处罚：（四）擅自拆卸、挪动公共供水设施的，或者擅自动用消火栓，除发生火灾紧急需要外的，责令恢复原状，处责任单位1000元以下罚款；</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违反本条例规定，有下列行为之一的，由城市供水行政主管部门或者其授权的单位责令限期改正，可以处以罚款：</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（六）擅自拆除、改装或者迁移城市公共供水设施的。</w:t>
            </w:r>
          </w:p>
          <w:p>
            <w:pPr>
              <w:widowControl/>
              <w:snapToGrid w:val="0"/>
              <w:ind w:firstLine="420" w:firstLineChars="20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有前款第（一）项、第（三）项、第（四）项、第（五）项、第（六）项所列行为之一，情节严重的，经县级以上人民政府批准，还可以在一定时间内停止供水。</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《北京市城市公共供水管理办法》第十五条、第十九条第（四）项、《城市供水条例》第三十五条第（六）项</w:t>
            </w:r>
          </w:p>
        </w:tc>
        <w:tc>
          <w:tcPr>
            <w:tcW w:w="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水务部门</w:t>
            </w:r>
          </w:p>
        </w:tc>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ascii="宋体" w:hAnsi="宋体" w:eastAsia="宋体" w:cs="等线"/>
                <w:color w:val="000000" w:themeColor="text1"/>
                <w:kern w:val="0"/>
                <w:szCs w:val="21"/>
              </w:rPr>
              <w:t>10</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对现场制、售饮用水单位或者个人未安装尾水回收设施行为</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对现场制、售饮用水单位或个人是否安装尾水回收设施进行检查</w:t>
            </w:r>
          </w:p>
        </w:tc>
        <w:tc>
          <w:tcPr>
            <w:tcW w:w="14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对现场制、售饮用水是否安装尾水回收设施</w:t>
            </w:r>
          </w:p>
        </w:tc>
        <w:tc>
          <w:tcPr>
            <w:tcW w:w="28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现场制售饮用水的单位和个人应当按照有关标准规范，安装尾水回收设施，对尾水进行利用，不得直接排放尾水，并依照本市有关规定向设施所在地卫生健康部门备案。</w:t>
            </w:r>
          </w:p>
          <w:p>
            <w:pPr>
              <w:widowControl/>
              <w:snapToGrid w:val="0"/>
              <w:ind w:firstLine="420" w:firstLineChars="200"/>
              <w:textAlignment w:val="center"/>
              <w:rPr>
                <w:color w:val="000000" w:themeColor="text1"/>
              </w:rPr>
            </w:pPr>
            <w:r>
              <w:rPr>
                <w:rFonts w:hint="eastAsia" w:ascii="宋体" w:hAnsi="宋体" w:eastAsia="宋体" w:cs="等线"/>
                <w:color w:val="000000" w:themeColor="text1"/>
                <w:kern w:val="0"/>
                <w:szCs w:val="21"/>
              </w:rPr>
              <w:t>违反本条例第三十六条第四款规定，现场制售饮用水的单位或者个人未安装尾水回收设施对尾水进行利用的，由水务部门责令限期改正；逾期不改正的，责令拆除，处五千元以上二万元以下罚款；未按照规定备案的，由卫生健康部门责令限期改正；逾期不改正的，处一千元以上五千元以下罚款。</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《北京市节水条例》第三十六条第四款、第六十五条第三款</w:t>
            </w:r>
          </w:p>
        </w:tc>
        <w:tc>
          <w:tcPr>
            <w:tcW w:w="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水务部门</w:t>
            </w:r>
          </w:p>
        </w:tc>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rPr>
                <w:rFonts w:ascii="宋体" w:hAnsi="宋体" w:eastAsia="宋体" w:cs="等线"/>
                <w:color w:val="000000" w:themeColor="text1"/>
                <w:szCs w:val="21"/>
              </w:rPr>
            </w:pP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rPr>
                <w:rFonts w:ascii="宋体" w:hAnsi="宋体" w:eastAsia="宋体" w:cs="等线"/>
                <w:color w:val="000000" w:themeColor="text1"/>
                <w:szCs w:val="21"/>
              </w:rPr>
            </w:pPr>
          </w:p>
        </w:tc>
        <w:tc>
          <w:tcPr>
            <w:tcW w:w="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rPr>
                <w:rFonts w:ascii="宋体" w:hAnsi="宋体" w:eastAsia="宋体" w:cs="等线"/>
                <w:color w:val="000000" w:themeColor="text1"/>
                <w:szCs w:val="21"/>
              </w:rPr>
            </w:pP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ascii="宋体" w:hAnsi="宋体" w:eastAsia="宋体" w:cs="等线"/>
                <w:color w:val="000000" w:themeColor="text1"/>
                <w:kern w:val="0"/>
                <w:szCs w:val="21"/>
              </w:rPr>
              <w:t>11</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宋体"/>
                <w:color w:val="000000" w:themeColor="text1"/>
                <w:szCs w:val="21"/>
              </w:rPr>
            </w:pPr>
            <w:r>
              <w:rPr>
                <w:rFonts w:hint="eastAsia" w:ascii="宋体" w:hAnsi="宋体" w:eastAsia="宋体" w:cs="等线"/>
                <w:color w:val="000000" w:themeColor="text1"/>
                <w:kern w:val="0"/>
                <w:szCs w:val="21"/>
              </w:rPr>
              <w:t>洗车服务的用水单位，未向节水管理部门报送已建成循环用水设施的登记表或者再生水供水合同的行为</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对提供洗车服务的用水单位，是否向节水管理部门报送已建成循环用水设施的登记表或者再生水供水合同的行为进行检查</w:t>
            </w:r>
          </w:p>
        </w:tc>
        <w:tc>
          <w:tcPr>
            <w:tcW w:w="14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提供洗车服务的用水单位，是否向节水管理部门报送已建成循环用水设施的登记表或者再生水供水合同</w:t>
            </w:r>
          </w:p>
        </w:tc>
        <w:tc>
          <w:tcPr>
            <w:tcW w:w="28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ind w:firstLine="420" w:firstLineChars="200"/>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提供洗车服务的用水户应当建设、使用循环用水设施，并向水务部门报送已建成循环用水设施的登记表；位于再生水输配管网覆盖范围内的，应当使用再生水，并按照要求向水务部门提供再生水供水合同。</w:t>
            </w:r>
          </w:p>
          <w:p>
            <w:pPr>
              <w:ind w:firstLine="420" w:firstLineChars="200"/>
              <w:rPr>
                <w:rFonts w:ascii="仿宋_GB2312" w:hAnsi="仿宋_GB2312" w:eastAsia="仿宋_GB2312" w:cs="仿宋_GB2312"/>
                <w:color w:val="000000" w:themeColor="text1"/>
                <w:sz w:val="32"/>
                <w:szCs w:val="32"/>
              </w:rPr>
            </w:pPr>
            <w:r>
              <w:rPr>
                <w:rFonts w:hint="eastAsia" w:ascii="宋体" w:hAnsi="宋体" w:eastAsia="宋体" w:cs="等线"/>
                <w:color w:val="000000" w:themeColor="text1"/>
                <w:kern w:val="0"/>
                <w:szCs w:val="21"/>
              </w:rPr>
              <w:t>违反本条例第三十八条规定，提供洗车服务的用水户未建设、使用循环用水设施或者未按照规定使用再生水的，由水务部门责令限期改正，给予警告；逾期不改正的，处一万元以上五万元以下罚款；未按照规定向水务部门报送已建成循环用水设施的登记表或者提供再生水供水合同的，由水务部门责令限期改正，给予警告；逾期不改正的，处一千元以下罚款。</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《北京市节水条例》第三十八条、第六十七条</w:t>
            </w:r>
          </w:p>
        </w:tc>
        <w:tc>
          <w:tcPr>
            <w:tcW w:w="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水务部门</w:t>
            </w:r>
          </w:p>
        </w:tc>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rPr>
                <w:rFonts w:ascii="宋体" w:hAnsi="宋体" w:eastAsia="宋体" w:cs="等线"/>
                <w:color w:val="000000" w:themeColor="text1"/>
                <w:szCs w:val="21"/>
              </w:rPr>
            </w:pP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rPr>
                <w:rFonts w:ascii="宋体" w:hAnsi="宋体" w:eastAsia="宋体" w:cs="等线"/>
                <w:color w:val="000000" w:themeColor="text1"/>
                <w:szCs w:val="21"/>
              </w:rPr>
            </w:pPr>
          </w:p>
        </w:tc>
        <w:tc>
          <w:tcPr>
            <w:tcW w:w="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rPr>
                <w:rFonts w:ascii="宋体" w:hAnsi="宋体" w:eastAsia="宋体" w:cs="等线"/>
                <w:color w:val="000000" w:themeColor="text1"/>
                <w:szCs w:val="21"/>
              </w:rPr>
            </w:pP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rPr>
          <w:jc w:val="center"/>
        </w:trPr>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ascii="宋体" w:hAnsi="宋体" w:eastAsia="宋体" w:cs="等线"/>
                <w:color w:val="000000" w:themeColor="text1"/>
                <w:kern w:val="0"/>
                <w:szCs w:val="21"/>
              </w:rPr>
              <w:t>12</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宋体"/>
                <w:color w:val="000000" w:themeColor="text1"/>
                <w:szCs w:val="21"/>
              </w:rPr>
            </w:pPr>
            <w:r>
              <w:rPr>
                <w:rFonts w:hint="eastAsia" w:ascii="宋体" w:hAnsi="宋体" w:eastAsia="宋体" w:cs="等线"/>
                <w:color w:val="000000" w:themeColor="text1"/>
                <w:kern w:val="0"/>
                <w:szCs w:val="21"/>
              </w:rPr>
              <w:t>节水设施</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对建设项目的节水设施没有建成或者没有达到国家规定的要求，擅自投入使用的行为进行检查</w:t>
            </w:r>
          </w:p>
        </w:tc>
        <w:tc>
          <w:tcPr>
            <w:tcW w:w="14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投入使用的建设项目是否建设节水设施或节水设施达到国家规定的要求</w:t>
            </w:r>
          </w:p>
        </w:tc>
        <w:tc>
          <w:tcPr>
            <w:tcW w:w="28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建设项目的节水设施没有建成或者没有达到国家规定的要求，擅自投入使用的，由县级以上人民政府有关部门或者流域管理机构依据职权，责令停止使用，限期改正，处五万元以上十万元以下的罚款。</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《中华人民共和国水法》第七十一条</w:t>
            </w:r>
          </w:p>
        </w:tc>
        <w:tc>
          <w:tcPr>
            <w:tcW w:w="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水务部门</w:t>
            </w:r>
          </w:p>
        </w:tc>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rPr>
                <w:rFonts w:ascii="宋体" w:hAnsi="宋体" w:eastAsia="宋体" w:cs="等线"/>
                <w:color w:val="000000" w:themeColor="text1"/>
                <w:szCs w:val="21"/>
              </w:rPr>
            </w:pP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rPr>
                <w:rFonts w:ascii="宋体" w:hAnsi="宋体" w:eastAsia="宋体" w:cs="等线"/>
                <w:color w:val="000000" w:themeColor="text1"/>
                <w:szCs w:val="21"/>
              </w:rPr>
            </w:pPr>
          </w:p>
        </w:tc>
        <w:tc>
          <w:tcPr>
            <w:tcW w:w="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ascii="宋体" w:hAnsi="宋体" w:eastAsia="宋体" w:cs="等线"/>
                <w:color w:val="000000" w:themeColor="text1"/>
                <w:kern w:val="0"/>
                <w:szCs w:val="21"/>
              </w:rPr>
              <w:t>13</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宋体"/>
                <w:color w:val="000000" w:themeColor="text1"/>
                <w:szCs w:val="21"/>
              </w:rPr>
            </w:pPr>
            <w:r>
              <w:rPr>
                <w:rFonts w:hint="eastAsia" w:ascii="宋体" w:hAnsi="宋体" w:eastAsia="宋体" w:cs="等线"/>
                <w:color w:val="000000" w:themeColor="text1"/>
                <w:kern w:val="0"/>
                <w:szCs w:val="21"/>
              </w:rPr>
              <w:t>供水设施</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对供水设施故障抢修情况进行检查</w:t>
            </w:r>
          </w:p>
        </w:tc>
        <w:tc>
          <w:tcPr>
            <w:tcW w:w="14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对发生的故障，供水单位（含二次、自建供水）是否及时抢修</w:t>
            </w:r>
          </w:p>
        </w:tc>
        <w:tc>
          <w:tcPr>
            <w:tcW w:w="28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供水企业必须遵守下列规定：（四）建立健全管理制度，定期检查、维护公共供水设施，及时排除公共供水设施故障，保障正常供水。</w:t>
            </w:r>
          </w:p>
          <w:p>
            <w:pPr>
              <w:widowControl/>
              <w:snapToGrid w:val="0"/>
              <w:ind w:firstLine="420" w:firstLineChars="20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城市自来水供水企业和自建设施供水的企业对其管理的城市供水的专用水库、引水渠道、取水口、泵站、井群、输（配）水管网、进户总水表、净（配）水厂、公用水站等设施，应当定期检查维修，确保安全运行。</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《北京市城市公共供水管理办法》第四条第四项、《城市供水条例》第二十七条</w:t>
            </w:r>
          </w:p>
        </w:tc>
        <w:tc>
          <w:tcPr>
            <w:tcW w:w="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水务部门</w:t>
            </w:r>
          </w:p>
        </w:tc>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rPr>
                <w:rFonts w:ascii="宋体" w:hAnsi="宋体" w:eastAsia="宋体" w:cs="等线"/>
                <w:color w:val="000000" w:themeColor="text1"/>
                <w:szCs w:val="21"/>
              </w:rPr>
            </w:pP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center"/>
              <w:textAlignment w:val="center"/>
              <w:rPr>
                <w:rFonts w:ascii="宋体" w:hAnsi="宋体" w:eastAsia="宋体" w:cs="等线"/>
                <w:color w:val="000000" w:themeColor="text1"/>
                <w:szCs w:val="21"/>
              </w:rPr>
            </w:pPr>
            <w:r>
              <w:rPr>
                <w:rFonts w:ascii="宋体" w:hAnsi="宋体" w:eastAsia="宋体" w:cs="等线"/>
                <w:color w:val="000000" w:themeColor="text1"/>
                <w:kern w:val="0"/>
                <w:szCs w:val="21"/>
              </w:rPr>
              <w:t>14</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textAlignment w:val="center"/>
              <w:rPr>
                <w:rFonts w:ascii="宋体" w:hAnsi="宋体" w:eastAsia="宋体" w:cs="宋体"/>
                <w:color w:val="000000" w:themeColor="text1"/>
                <w:szCs w:val="21"/>
              </w:rPr>
            </w:pPr>
            <w:r>
              <w:rPr>
                <w:rFonts w:hint="eastAsia" w:ascii="宋体" w:hAnsi="宋体" w:eastAsia="宋体" w:cs="等线"/>
                <w:color w:val="000000" w:themeColor="text1"/>
                <w:kern w:val="0"/>
                <w:szCs w:val="21"/>
              </w:rPr>
              <w:t>擅自停止供水或未履行停水通知义务的行</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对擅自停止供水或者未履行停水通知义务的情况进行检查</w:t>
            </w:r>
          </w:p>
        </w:tc>
        <w:tc>
          <w:tcPr>
            <w:tcW w:w="14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供水单位（含二次、自建供水）是否擅自停止供水或者未履行停水通知义务</w:t>
            </w:r>
          </w:p>
        </w:tc>
        <w:tc>
          <w:tcPr>
            <w:tcW w:w="28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hd w:val="clear" w:color="auto" w:fill="FFFFFF"/>
              <w:spacing w:line="216" w:lineRule="auto"/>
              <w:ind w:firstLine="482"/>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集中式供水单位应当保持不间断供水，分散式供水单位按照供水用水合同可分时段供水。</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　　因工程施工、设备维修等确需暂停供水的，供水单位应当提前24小时告知用水单位和个人，并向区水行政主管部门备案。因发生自然灾害或者其他突发性事件而不能提前告知的，应当在应急处置的同时，及时告知用水单位和个人，向区水行政主管部门备案，并尽快恢复正常供水。</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　　供水设施抢修时，有关单位和个人应当给予支持和配合。暂停供水时间超过24小时的，供水单位应当采取应急供水措施。</w:t>
            </w:r>
          </w:p>
          <w:p>
            <w:pPr>
              <w:widowControl/>
              <w:shd w:val="clear" w:color="auto" w:fill="FFFFFF"/>
              <w:spacing w:line="216" w:lineRule="auto"/>
              <w:ind w:firstLine="482"/>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城市自来水供水企业或者自建设施对外供水的企业有下列行为之一的，由城市供水行政主管部门责令改正，可以处以罚款。情节严重的，报经县级以上人民政府批准，可以停业整顿。对负有直接责任的主管人员和其他直接责任人员，其所在单位或者上级机关可以予以行政处分：</w:t>
            </w:r>
          </w:p>
          <w:p>
            <w:pPr>
              <w:widowControl/>
              <w:shd w:val="clear" w:color="auto" w:fill="FFFFFF"/>
              <w:spacing w:line="216" w:lineRule="auto"/>
              <w:ind w:firstLine="482"/>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（一）供水水质、水压不符合国家规定标准的；</w:t>
            </w:r>
          </w:p>
          <w:p>
            <w:pPr>
              <w:widowControl/>
              <w:shd w:val="clear" w:color="auto" w:fill="FFFFFF"/>
              <w:spacing w:line="216" w:lineRule="auto"/>
              <w:ind w:firstLine="482"/>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（二）擅自停止供水或者来履行停水通知义务的；</w:t>
            </w:r>
          </w:p>
          <w:p>
            <w:pPr>
              <w:widowControl/>
              <w:shd w:val="clear" w:color="auto" w:fill="FFFFFF"/>
              <w:spacing w:line="216" w:lineRule="auto"/>
              <w:ind w:firstLine="482"/>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（三）未按照规定检修供水设施或者在供水设施发生故障后未及时抢修的。</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《城市供水条例》第十条、第三十九条</w:t>
            </w:r>
          </w:p>
        </w:tc>
        <w:tc>
          <w:tcPr>
            <w:tcW w:w="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水务部门</w:t>
            </w:r>
          </w:p>
        </w:tc>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216" w:lineRule="auto"/>
              <w:jc w:val="center"/>
              <w:rPr>
                <w:rFonts w:ascii="宋体" w:hAnsi="宋体" w:eastAsia="宋体" w:cs="等线"/>
                <w:color w:val="000000" w:themeColor="text1"/>
                <w:szCs w:val="21"/>
              </w:rPr>
            </w:pP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216" w:lineRule="auto"/>
              <w:jc w:val="center"/>
              <w:rPr>
                <w:rFonts w:ascii="宋体" w:hAnsi="宋体" w:eastAsia="宋体" w:cs="等线"/>
                <w:color w:val="000000" w:themeColor="text1"/>
                <w:szCs w:val="21"/>
              </w:rPr>
            </w:pPr>
          </w:p>
        </w:tc>
        <w:tc>
          <w:tcPr>
            <w:tcW w:w="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ascii="宋体" w:hAnsi="宋体" w:eastAsia="宋体" w:cs="等线"/>
                <w:color w:val="000000" w:themeColor="text1"/>
                <w:kern w:val="0"/>
                <w:szCs w:val="21"/>
              </w:rPr>
              <w:t>15</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宋体"/>
                <w:color w:val="000000" w:themeColor="text1"/>
                <w:szCs w:val="21"/>
              </w:rPr>
            </w:pPr>
            <w:r>
              <w:rPr>
                <w:rFonts w:hint="eastAsia" w:ascii="宋体" w:hAnsi="宋体" w:eastAsia="宋体" w:cs="等线"/>
                <w:color w:val="000000" w:themeColor="text1"/>
                <w:kern w:val="0"/>
                <w:szCs w:val="21"/>
              </w:rPr>
              <w:t>水质检测</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供水单位（含二次、自建供水）、二次供水管理单位未按规定进行水质检测或者委托检测</w:t>
            </w:r>
          </w:p>
        </w:tc>
        <w:tc>
          <w:tcPr>
            <w:tcW w:w="14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是否按规定进行水质检测或者委托检测</w:t>
            </w:r>
          </w:p>
        </w:tc>
        <w:tc>
          <w:tcPr>
            <w:tcW w:w="28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二次供水管理单位，应当建立水质管理制度，配备专（兼）职人员，加强水质管理，定期进行水质检测并对各类储水设施清洗消毒（每半年不得少于一次）。不具备相应水质检测能力的，应当委托经质量技术监督部门资质认定的水质检测机构进行现场检测。</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《城市供水水质管理规定》第十四条</w:t>
            </w:r>
          </w:p>
        </w:tc>
        <w:tc>
          <w:tcPr>
            <w:tcW w:w="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水务部门</w:t>
            </w:r>
          </w:p>
        </w:tc>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rPr>
          <w:jc w:val="center"/>
        </w:trPr>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center"/>
              <w:textAlignment w:val="center"/>
              <w:rPr>
                <w:rFonts w:ascii="宋体" w:hAnsi="宋体" w:eastAsia="宋体" w:cs="等线"/>
                <w:color w:val="000000" w:themeColor="text1"/>
                <w:szCs w:val="21"/>
              </w:rPr>
            </w:pPr>
            <w:r>
              <w:rPr>
                <w:rFonts w:ascii="宋体" w:hAnsi="宋体" w:eastAsia="宋体" w:cs="等线"/>
                <w:color w:val="000000" w:themeColor="text1"/>
                <w:szCs w:val="21"/>
              </w:rPr>
              <w:t>16</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textAlignment w:val="center"/>
              <w:rPr>
                <w:rFonts w:ascii="宋体" w:hAnsi="宋体" w:eastAsia="宋体" w:cs="宋体"/>
                <w:color w:val="000000" w:themeColor="text1"/>
                <w:szCs w:val="21"/>
              </w:rPr>
            </w:pPr>
            <w:r>
              <w:rPr>
                <w:rFonts w:hint="eastAsia" w:ascii="宋体" w:hAnsi="宋体" w:eastAsia="宋体" w:cs="等线"/>
                <w:color w:val="000000" w:themeColor="text1"/>
                <w:kern w:val="0"/>
                <w:szCs w:val="21"/>
              </w:rPr>
              <w:t>储水设施清洗消毒</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二次供水管理单位是否按规定对各类储水设施进行清洗消毒进行检查</w:t>
            </w:r>
          </w:p>
        </w:tc>
        <w:tc>
          <w:tcPr>
            <w:tcW w:w="14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二次供水管理单位是否按规定对各类储水设施进行清洗消毒</w:t>
            </w:r>
          </w:p>
        </w:tc>
        <w:tc>
          <w:tcPr>
            <w:tcW w:w="28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ind w:firstLine="420" w:firstLineChars="200"/>
              <w:textAlignment w:val="center"/>
              <w:rPr>
                <w:color w:val="000000" w:themeColor="text1"/>
                <w:shd w:val="clear" w:color="auto" w:fill="FFFFFF"/>
              </w:rPr>
            </w:pPr>
            <w:r>
              <w:rPr>
                <w:rFonts w:hint="eastAsia" w:ascii="宋体" w:hAnsi="宋体" w:eastAsia="宋体" w:cs="等线"/>
                <w:color w:val="000000" w:themeColor="text1"/>
                <w:kern w:val="0"/>
                <w:szCs w:val="21"/>
              </w:rPr>
              <w:t>二次供水管理单位，应当建立水质管理制度，配备专（兼）职人员，加强水质管理，定期进行水质检测并对各类储水设施清洗消毒（每半年不得少于一次）。不具备相应水质检测能力的，应当委托经质量技术监督部门资质认定的水质检测机构进行现场检测。</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《城市供水水质管理规定》第十四条</w:t>
            </w:r>
          </w:p>
        </w:tc>
        <w:tc>
          <w:tcPr>
            <w:tcW w:w="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水务部门</w:t>
            </w:r>
          </w:p>
        </w:tc>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center"/>
              <w:textAlignment w:val="center"/>
              <w:rPr>
                <w:rFonts w:ascii="宋体" w:hAnsi="宋体" w:eastAsia="宋体" w:cs="等线"/>
                <w:color w:val="000000" w:themeColor="text1"/>
                <w:szCs w:val="21"/>
              </w:rPr>
            </w:pPr>
            <w:r>
              <w:rPr>
                <w:rFonts w:ascii="宋体" w:hAnsi="宋体" w:eastAsia="宋体" w:cs="等线"/>
                <w:color w:val="000000" w:themeColor="text1"/>
                <w:kern w:val="0"/>
                <w:szCs w:val="21"/>
              </w:rPr>
              <w:t>17</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隐瞒、缓报、谎报水质突发事件或者水质信息行为</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对城市供水单位（含二次供水、自建供水）、是否隐瞒、缓报、谎报水质突发事件或者水质信息进行检查</w:t>
            </w:r>
          </w:p>
        </w:tc>
        <w:tc>
          <w:tcPr>
            <w:tcW w:w="14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城市供水单位（含二次、自建供水）、二次供水管理单位是否隐瞒、缓报、谎报水质突发事件或者水质信息</w:t>
            </w:r>
          </w:p>
        </w:tc>
        <w:tc>
          <w:tcPr>
            <w:tcW w:w="28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违反本规定，有下列行为之一的，由直辖市、市、县人民政府城市供水主管部门给予警告，并处以3万元的罚款：</w:t>
            </w:r>
          </w:p>
          <w:p>
            <w:pPr>
              <w:widowControl/>
              <w:snapToGrid w:val="0"/>
              <w:spacing w:line="216" w:lineRule="auto"/>
              <w:ind w:firstLine="420" w:firstLineChars="20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（七）城市供水单位、二次供水管理单位隐瞒、缓报、谎报水质突发事件或者水质信息的；</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《城市供水水质管理规定》第二十九条第七款</w:t>
            </w:r>
          </w:p>
        </w:tc>
        <w:tc>
          <w:tcPr>
            <w:tcW w:w="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水务部门</w:t>
            </w:r>
          </w:p>
        </w:tc>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216" w:lineRule="auto"/>
              <w:jc w:val="center"/>
              <w:rPr>
                <w:rFonts w:ascii="宋体" w:hAnsi="宋体" w:eastAsia="宋体" w:cs="等线"/>
                <w:color w:val="000000" w:themeColor="text1"/>
                <w:szCs w:val="21"/>
              </w:rPr>
            </w:pP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216" w:lineRule="auto"/>
              <w:jc w:val="center"/>
              <w:rPr>
                <w:rFonts w:ascii="宋体" w:hAnsi="宋体" w:eastAsia="宋体" w:cs="等线"/>
                <w:color w:val="000000" w:themeColor="text1"/>
                <w:szCs w:val="21"/>
              </w:rPr>
            </w:pPr>
          </w:p>
        </w:tc>
        <w:tc>
          <w:tcPr>
            <w:tcW w:w="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center"/>
              <w:textAlignment w:val="center"/>
              <w:rPr>
                <w:rFonts w:ascii="宋体" w:hAnsi="宋体" w:eastAsia="宋体" w:cs="等线"/>
                <w:color w:val="000000" w:themeColor="text1"/>
                <w:szCs w:val="21"/>
              </w:rPr>
            </w:pPr>
            <w:r>
              <w:rPr>
                <w:rFonts w:ascii="宋体" w:hAnsi="宋体" w:eastAsia="宋体" w:cs="等线"/>
                <w:color w:val="000000" w:themeColor="text1"/>
                <w:kern w:val="0"/>
                <w:szCs w:val="21"/>
              </w:rPr>
              <w:t>18</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textAlignment w:val="center"/>
              <w:rPr>
                <w:rFonts w:ascii="宋体" w:hAnsi="宋体" w:eastAsia="宋体" w:cs="宋体"/>
                <w:color w:val="000000" w:themeColor="text1"/>
                <w:szCs w:val="21"/>
              </w:rPr>
            </w:pPr>
            <w:r>
              <w:rPr>
                <w:rFonts w:hint="eastAsia" w:ascii="宋体" w:hAnsi="宋体" w:eastAsia="宋体" w:cs="等线"/>
                <w:color w:val="000000" w:themeColor="text1"/>
                <w:kern w:val="0"/>
                <w:szCs w:val="21"/>
              </w:rPr>
              <w:t>擅自拆改供水、排水、再生水等管线行为</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对是否擅自拆改供水、排水、再生水等管线的行为进行检查</w:t>
            </w:r>
          </w:p>
        </w:tc>
        <w:tc>
          <w:tcPr>
            <w:tcW w:w="14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业主、物业使用人、物业服务人等不得擅自拆改供水、排水、再生水等管线</w:t>
            </w:r>
          </w:p>
        </w:tc>
        <w:tc>
          <w:tcPr>
            <w:tcW w:w="28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业主、物业使用人、物业服务人等不得实施下列行为：</w:t>
            </w:r>
          </w:p>
          <w:p>
            <w:pPr>
              <w:widowControl/>
              <w:snapToGrid w:val="0"/>
              <w:spacing w:line="216" w:lineRule="auto"/>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（六）擅自拆改供水、排水、再生水等管线。</w:t>
            </w:r>
          </w:p>
          <w:p>
            <w:pPr>
              <w:widowControl/>
              <w:snapToGrid w:val="0"/>
              <w:spacing w:line="216" w:lineRule="auto"/>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物业管理区域内有下列行为之一的，由有关主管部门按照下列规定予以查处：</w:t>
            </w:r>
          </w:p>
          <w:p>
            <w:pPr>
              <w:widowControl/>
              <w:snapToGrid w:val="0"/>
              <w:spacing w:line="216" w:lineRule="auto"/>
              <w:ind w:firstLine="420" w:firstLineChars="200"/>
              <w:textAlignment w:val="center"/>
              <w:rPr>
                <w:color w:val="000000" w:themeColor="text1"/>
              </w:rPr>
            </w:pPr>
            <w:r>
              <w:rPr>
                <w:rFonts w:hint="eastAsia" w:ascii="宋体" w:hAnsi="宋体" w:eastAsia="宋体" w:cs="等线"/>
                <w:color w:val="000000" w:themeColor="text1"/>
                <w:kern w:val="0"/>
                <w:szCs w:val="21"/>
              </w:rPr>
              <w:t>（六）违反本条例第七十八条第二款第（六）项规定的，由水主管部门责令限期改正，处一万元以上三万元以下的罚款。</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《北京市物业管理条例》第七十八条第一款第六项、第九十八条第六项</w:t>
            </w:r>
          </w:p>
        </w:tc>
        <w:tc>
          <w:tcPr>
            <w:tcW w:w="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水务部门</w:t>
            </w:r>
          </w:p>
        </w:tc>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bl>
    <w:p>
      <w:pPr>
        <w:rPr>
          <w:color w:val="000000" w:themeColor="text1"/>
        </w:rPr>
      </w:pPr>
      <w:r>
        <w:rPr>
          <w:color w:val="000000" w:themeColor="text1"/>
        </w:rPr>
        <w:br w:type="page"/>
      </w:r>
    </w:p>
    <w:tbl>
      <w:tblPr>
        <w:tblStyle w:val="26"/>
        <w:tblW w:w="13608" w:type="dxa"/>
        <w:jc w:val="center"/>
        <w:tblLayout w:type="fixed"/>
        <w:tblCellMar>
          <w:top w:w="0" w:type="dxa"/>
          <w:left w:w="108" w:type="dxa"/>
          <w:bottom w:w="0" w:type="dxa"/>
          <w:right w:w="108" w:type="dxa"/>
        </w:tblCellMar>
      </w:tblPr>
      <w:tblGrid>
        <w:gridCol w:w="432"/>
        <w:gridCol w:w="1038"/>
        <w:gridCol w:w="1489"/>
        <w:gridCol w:w="1455"/>
        <w:gridCol w:w="2967"/>
        <w:gridCol w:w="1038"/>
        <w:gridCol w:w="646"/>
        <w:gridCol w:w="761"/>
        <w:gridCol w:w="726"/>
        <w:gridCol w:w="1466"/>
        <w:gridCol w:w="461"/>
        <w:gridCol w:w="357"/>
        <w:gridCol w:w="415"/>
        <w:gridCol w:w="357"/>
      </w:tblGrid>
      <w:tr>
        <w:tblPrEx>
          <w:tblCellMar>
            <w:top w:w="0" w:type="dxa"/>
            <w:left w:w="108" w:type="dxa"/>
            <w:bottom w:w="0" w:type="dxa"/>
            <w:right w:w="108" w:type="dxa"/>
          </w:tblCellMar>
        </w:tblPrEx>
        <w:trPr>
          <w:jc w:val="center"/>
        </w:trPr>
        <w:tc>
          <w:tcPr>
            <w:tcW w:w="14669"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pPr>
              <w:pStyle w:val="5"/>
              <w:jc w:val="center"/>
              <w:rPr>
                <w:rFonts w:ascii="等线" w:hAnsi="等线" w:cs="等线"/>
                <w:color w:val="000000" w:themeColor="text1"/>
                <w:sz w:val="22"/>
                <w:szCs w:val="22"/>
              </w:rPr>
            </w:pPr>
            <w:bookmarkStart w:id="187" w:name="_Toc150435309"/>
            <w:r>
              <w:rPr>
                <w:rFonts w:hint="eastAsia"/>
                <w:color w:val="000000" w:themeColor="text1"/>
              </w:rPr>
              <w:t>消防管理方面</w:t>
            </w:r>
            <w:bookmarkEnd w:id="187"/>
          </w:p>
        </w:tc>
      </w:tr>
      <w:tr>
        <w:tblPrEx>
          <w:tblCellMar>
            <w:top w:w="0" w:type="dxa"/>
            <w:left w:w="108" w:type="dxa"/>
            <w:bottom w:w="0" w:type="dxa"/>
            <w:right w:w="108" w:type="dxa"/>
          </w:tblCellMar>
        </w:tblPrEx>
        <w:trPr>
          <w:jc w:val="center"/>
        </w:trPr>
        <w:tc>
          <w:tcPr>
            <w:tcW w:w="452"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Cs w:val="21"/>
              </w:rPr>
              <w:t>序号</w:t>
            </w:r>
          </w:p>
        </w:tc>
        <w:tc>
          <w:tcPr>
            <w:tcW w:w="1121"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宋体"/>
                <w:color w:val="000000" w:themeColor="text1"/>
                <w:kern w:val="0"/>
                <w:sz w:val="18"/>
                <w:szCs w:val="18"/>
              </w:rPr>
            </w:pPr>
            <w:r>
              <w:rPr>
                <w:rFonts w:hint="eastAsia" w:ascii="黑体" w:hAnsi="宋体" w:eastAsia="黑体" w:cs="黑体"/>
                <w:b/>
                <w:bCs/>
                <w:color w:val="000000" w:themeColor="text1"/>
                <w:kern w:val="0"/>
                <w:szCs w:val="21"/>
              </w:rPr>
              <w:t>检查事项</w:t>
            </w:r>
          </w:p>
        </w:tc>
        <w:tc>
          <w:tcPr>
            <w:tcW w:w="1618"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0"/>
                <w:szCs w:val="20"/>
              </w:rPr>
            </w:pPr>
            <w:r>
              <w:rPr>
                <w:rFonts w:hint="eastAsia" w:ascii="黑体" w:hAnsi="宋体" w:eastAsia="黑体" w:cs="黑体"/>
                <w:b/>
                <w:bCs/>
                <w:color w:val="000000" w:themeColor="text1"/>
                <w:kern w:val="0"/>
                <w:szCs w:val="21"/>
              </w:rPr>
              <w:t>检查子事项</w:t>
            </w:r>
          </w:p>
        </w:tc>
        <w:tc>
          <w:tcPr>
            <w:tcW w:w="1580"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0"/>
                <w:szCs w:val="20"/>
              </w:rPr>
            </w:pPr>
            <w:r>
              <w:rPr>
                <w:rFonts w:hint="eastAsia" w:ascii="黑体" w:hAnsi="宋体" w:eastAsia="黑体" w:cs="黑体"/>
                <w:b/>
                <w:bCs/>
                <w:color w:val="000000" w:themeColor="text1"/>
                <w:kern w:val="0"/>
                <w:szCs w:val="21"/>
              </w:rPr>
              <w:t>检查内容</w:t>
            </w:r>
          </w:p>
        </w:tc>
        <w:tc>
          <w:tcPr>
            <w:tcW w:w="3248"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0"/>
                <w:szCs w:val="20"/>
              </w:rPr>
            </w:pPr>
            <w:r>
              <w:rPr>
                <w:rFonts w:hint="eastAsia" w:ascii="黑体" w:hAnsi="宋体" w:eastAsia="黑体" w:cs="黑体"/>
                <w:b/>
                <w:bCs/>
                <w:color w:val="000000" w:themeColor="text1"/>
                <w:kern w:val="0"/>
                <w:szCs w:val="21"/>
              </w:rPr>
              <w:t>合格标准</w:t>
            </w:r>
          </w:p>
        </w:tc>
        <w:tc>
          <w:tcPr>
            <w:tcW w:w="1121"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0"/>
                <w:szCs w:val="20"/>
              </w:rPr>
            </w:pPr>
            <w:r>
              <w:rPr>
                <w:rFonts w:hint="eastAsia" w:ascii="黑体" w:hAnsi="宋体" w:eastAsia="黑体" w:cs="黑体"/>
                <w:b/>
                <w:bCs/>
                <w:color w:val="000000" w:themeColor="text1"/>
                <w:kern w:val="0"/>
                <w:szCs w:val="21"/>
              </w:rPr>
              <w:t>标准对应的依据</w:t>
            </w:r>
          </w:p>
        </w:tc>
        <w:tc>
          <w:tcPr>
            <w:tcW w:w="688" w:type="dxa"/>
            <w:vMerge w:val="restart"/>
            <w:tcBorders>
              <w:top w:val="single" w:color="000000" w:sz="4" w:space="0"/>
              <w:left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0"/>
                <w:szCs w:val="20"/>
              </w:rPr>
            </w:pPr>
            <w:r>
              <w:rPr>
                <w:rFonts w:hint="eastAsia" w:ascii="黑体" w:hAnsi="宋体" w:eastAsia="黑体" w:cs="黑体"/>
                <w:b/>
                <w:bCs/>
                <w:color w:val="000000" w:themeColor="text1"/>
                <w:kern w:val="0"/>
                <w:szCs w:val="21"/>
              </w:rPr>
              <w:t>监管部门</w:t>
            </w:r>
          </w:p>
        </w:tc>
        <w:tc>
          <w:tcPr>
            <w:tcW w:w="815" w:type="dxa"/>
            <w:vMerge w:val="restart"/>
            <w:tcBorders>
              <w:top w:val="single" w:color="000000" w:sz="4" w:space="0"/>
              <w:left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0"/>
                <w:szCs w:val="20"/>
              </w:rPr>
            </w:pPr>
            <w:r>
              <w:rPr>
                <w:rFonts w:hint="eastAsia" w:ascii="黑体" w:hAnsi="宋体" w:eastAsia="黑体" w:cs="黑体"/>
                <w:b/>
                <w:bCs/>
                <w:color w:val="000000" w:themeColor="text1"/>
                <w:kern w:val="0"/>
                <w:szCs w:val="21"/>
              </w:rPr>
              <w:t>检查层级</w:t>
            </w:r>
          </w:p>
        </w:tc>
        <w:tc>
          <w:tcPr>
            <w:tcW w:w="777"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Cs w:val="21"/>
              </w:rPr>
              <w:t>检查方法</w:t>
            </w:r>
          </w:p>
        </w:tc>
        <w:tc>
          <w:tcPr>
            <w:tcW w:w="1593"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Cs w:val="21"/>
              </w:rPr>
              <w:t>检查结果</w:t>
            </w:r>
          </w:p>
        </w:tc>
        <w:tc>
          <w:tcPr>
            <w:tcW w:w="165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2"/>
              </w:rPr>
            </w:pPr>
            <w:r>
              <w:rPr>
                <w:rFonts w:ascii="宋体" w:hAnsi="宋体" w:eastAsia="宋体" w:cs="宋体"/>
                <w:b/>
                <w:bCs/>
                <w:color w:val="000000" w:themeColor="text1"/>
                <w:kern w:val="0"/>
                <w:sz w:val="20"/>
                <w:szCs w:val="20"/>
              </w:rPr>
              <w:t>检查项分级标注</w:t>
            </w:r>
          </w:p>
        </w:tc>
      </w:tr>
      <w:tr>
        <w:tblPrEx>
          <w:tblCellMar>
            <w:top w:w="0" w:type="dxa"/>
            <w:left w:w="108" w:type="dxa"/>
            <w:bottom w:w="0" w:type="dxa"/>
            <w:right w:w="108" w:type="dxa"/>
          </w:tblCellMar>
        </w:tblPrEx>
        <w:trPr>
          <w:jc w:val="center"/>
        </w:trPr>
        <w:tc>
          <w:tcPr>
            <w:tcW w:w="452"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1121"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1618"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1580"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3248"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1121"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688" w:type="dxa"/>
            <w:vMerge w:val="continue"/>
            <w:tcBorders>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color w:val="000000" w:themeColor="text1"/>
              </w:rPr>
            </w:pPr>
          </w:p>
        </w:tc>
        <w:tc>
          <w:tcPr>
            <w:tcW w:w="815" w:type="dxa"/>
            <w:vMerge w:val="continue"/>
            <w:tcBorders>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color w:val="000000" w:themeColor="text1"/>
              </w:rPr>
            </w:pPr>
          </w:p>
        </w:tc>
        <w:tc>
          <w:tcPr>
            <w:tcW w:w="777"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1593"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 w:val="20"/>
                <w:szCs w:val="20"/>
              </w:rPr>
              <w:t>A</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 w:val="20"/>
                <w:szCs w:val="20"/>
              </w:rPr>
              <w:t>B</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 w:val="20"/>
                <w:szCs w:val="20"/>
              </w:rPr>
              <w:t>C</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 w:val="20"/>
                <w:szCs w:val="20"/>
              </w:rPr>
              <w:t>D</w:t>
            </w:r>
          </w:p>
        </w:tc>
      </w:tr>
      <w:tr>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ascii="宋体" w:hAnsi="宋体" w:eastAsia="宋体" w:cs="等线"/>
                <w:color w:val="000000" w:themeColor="text1"/>
                <w:kern w:val="0"/>
                <w:szCs w:val="21"/>
              </w:rPr>
              <w:t>1</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等线"/>
                <w:color w:val="000000" w:themeColor="text1"/>
                <w:szCs w:val="21"/>
              </w:rPr>
            </w:pPr>
            <w:r>
              <w:rPr>
                <w:rFonts w:hint="eastAsia" w:ascii="宋体" w:hAnsi="宋体" w:eastAsia="宋体" w:cs="等线"/>
                <w:color w:val="000000" w:themeColor="text1"/>
                <w:kern w:val="0"/>
                <w:szCs w:val="21"/>
              </w:rPr>
              <w:t>占用、堵塞、封闭疏散通道、安全出口、消防车通道</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等线"/>
                <w:color w:val="000000" w:themeColor="text1"/>
                <w:szCs w:val="21"/>
              </w:rPr>
            </w:pPr>
            <w:r>
              <w:rPr>
                <w:rFonts w:hint="eastAsia" w:ascii="宋体" w:hAnsi="宋体" w:eastAsia="宋体" w:cs="等线"/>
                <w:color w:val="000000" w:themeColor="text1"/>
                <w:kern w:val="0"/>
                <w:szCs w:val="21"/>
              </w:rPr>
              <w:t>对占用、堵塞、封闭疏散通道、安全出口、消防车通道情况检查；检查停车泊位及设施是否占用、堵塞消防车通道</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是否占用、堵塞、封闭疏散通道、安全出口、消防车通道，划定和设置停车泊位及设施时不得占用、堵塞消防车通道</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color w:val="000000" w:themeColor="text1"/>
                <w:shd w:val="clear" w:color="auto" w:fill="FFFFFF"/>
              </w:rPr>
            </w:pPr>
            <w:r>
              <w:rPr>
                <w:rFonts w:hint="eastAsia"/>
                <w:color w:val="000000" w:themeColor="text1"/>
                <w:shd w:val="clear" w:color="auto" w:fill="FFFFFF"/>
              </w:rPr>
              <w:t>任何单位、个人不得损坏、挪用或者擅自拆除、停用消防设施、器材，不得埋压、圈占、遮挡消火栓或者占用防火间距，不得占用、堵塞、封闭疏散通道、安全出口、消防车通道。人员密集场所的门窗不得设置影响逃生和灭火救援的障碍物。</w:t>
            </w:r>
          </w:p>
          <w:p>
            <w:pPr>
              <w:widowControl/>
              <w:snapToGrid w:val="0"/>
              <w:ind w:firstLine="420" w:firstLineChars="200"/>
              <w:textAlignment w:val="center"/>
              <w:rPr>
                <w:rFonts w:ascii="宋体" w:hAnsi="宋体" w:eastAsia="宋体" w:cs="等线"/>
                <w:color w:val="000000" w:themeColor="text1"/>
                <w:kern w:val="0"/>
                <w:szCs w:val="21"/>
              </w:rPr>
            </w:pPr>
            <w:r>
              <w:rPr>
                <w:rFonts w:hint="eastAsia"/>
                <w:color w:val="000000" w:themeColor="text1"/>
                <w:shd w:val="clear" w:color="auto" w:fill="FFFFFF"/>
              </w:rPr>
              <w:t>住宅区的物业服务企业或</w:t>
            </w:r>
            <w:r>
              <w:rPr>
                <w:rFonts w:hint="eastAsia" w:ascii="宋体" w:hAnsi="宋体" w:eastAsia="宋体" w:cs="等线"/>
                <w:color w:val="000000" w:themeColor="text1"/>
                <w:kern w:val="0"/>
                <w:szCs w:val="21"/>
              </w:rPr>
              <w:t>者其他管理人应当做好下列消防安全工作：保障疏散通道、安全出口、消防车通道畅通，划定和设置停车泊位及设施时不得占用、堵塞消防车通道。</w:t>
            </w:r>
          </w:p>
          <w:p>
            <w:pPr>
              <w:widowControl/>
              <w:snapToGrid w:val="0"/>
              <w:ind w:firstLine="420" w:firstLineChars="200"/>
              <w:textAlignment w:val="center"/>
              <w:rPr>
                <w:rFonts w:ascii="宋体" w:hAnsi="宋体" w:eastAsia="宋体" w:cs="宋体"/>
                <w:color w:val="000000" w:themeColor="text1"/>
                <w:szCs w:val="21"/>
              </w:rPr>
            </w:pPr>
            <w:r>
              <w:rPr>
                <w:rFonts w:hint="eastAsia" w:ascii="宋体" w:hAnsi="宋体" w:eastAsia="宋体" w:cs="等线"/>
                <w:color w:val="000000" w:themeColor="text1"/>
                <w:kern w:val="0"/>
                <w:szCs w:val="21"/>
              </w:rPr>
              <w:t>业主、物业使用人应当遵守法律法规和规章的规定以及临时管理规约、管理规约的约定，按照规划用途合理、安全使用物业。业主、物业使用人、物业服务人等不得实施下列行为：擅自通过设置地锁、石墩、栅栏等障碍物和乱堆乱放杂物等方式，占用、堵塞、封闭消防通道、疏散通道等共用部位，或者损坏消防设施等共用设施设备。</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宋体"/>
                <w:color w:val="000000" w:themeColor="text1"/>
                <w:szCs w:val="21"/>
              </w:rPr>
            </w:pPr>
            <w:r>
              <w:rPr>
                <w:rFonts w:hint="eastAsia" w:ascii="宋体" w:hAnsi="宋体" w:eastAsia="宋体" w:cs="宋体"/>
                <w:color w:val="000000" w:themeColor="text1"/>
                <w:kern w:val="0"/>
                <w:szCs w:val="21"/>
              </w:rPr>
              <w:t>《消防法》第二十八条、第六十条；《北京市消防条例》第二十四条、第八十一条；《北京市物业管理条例》第九十八条</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消防救援部门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2</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等线"/>
                <w:color w:val="000000" w:themeColor="text1"/>
                <w:szCs w:val="21"/>
              </w:rPr>
            </w:pPr>
            <w:r>
              <w:rPr>
                <w:rFonts w:hint="eastAsia" w:ascii="宋体" w:hAnsi="宋体" w:eastAsia="宋体" w:cs="等线"/>
                <w:color w:val="000000" w:themeColor="text1"/>
                <w:kern w:val="0"/>
                <w:szCs w:val="21"/>
              </w:rPr>
              <w:t>损坏、挪用消防设施、器材，损坏消防设施等共用设施设备</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等线"/>
                <w:color w:val="000000" w:themeColor="text1"/>
                <w:szCs w:val="21"/>
              </w:rPr>
            </w:pPr>
            <w:r>
              <w:rPr>
                <w:rFonts w:hint="eastAsia" w:ascii="宋体" w:hAnsi="宋体" w:eastAsia="宋体" w:cs="等线"/>
                <w:color w:val="000000" w:themeColor="text1"/>
                <w:kern w:val="0"/>
                <w:szCs w:val="21"/>
              </w:rPr>
              <w:t>对损坏、挪用消防设施、器材，损坏消防设施等共用设施设备情况检查</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是否损坏、挪用消防设施、器材，损坏消防设施等共用设施设备</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任何单位、个人不得损坏、挪用消防设施、器材。</w:t>
            </w:r>
          </w:p>
          <w:p>
            <w:pPr>
              <w:widowControl/>
              <w:snapToGrid w:val="0"/>
              <w:ind w:firstLine="420" w:firstLineChars="200"/>
              <w:textAlignment w:val="center"/>
              <w:rPr>
                <w:rFonts w:ascii="宋体" w:hAnsi="宋体" w:eastAsia="宋体" w:cs="宋体"/>
                <w:color w:val="000000" w:themeColor="text1"/>
                <w:szCs w:val="21"/>
              </w:rPr>
            </w:pPr>
            <w:r>
              <w:rPr>
                <w:rFonts w:hint="eastAsia" w:ascii="宋体" w:hAnsi="宋体" w:eastAsia="宋体" w:cs="等线"/>
                <w:color w:val="000000" w:themeColor="text1"/>
                <w:kern w:val="0"/>
                <w:szCs w:val="21"/>
              </w:rPr>
              <w:t>业主、物业使用人应当遵守法律法规和规章的规定以及临时管理规约、管理规约的约定，按照规划用途合理、安全使用物业。</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宋体"/>
                <w:color w:val="000000" w:themeColor="text1"/>
                <w:szCs w:val="21"/>
              </w:rPr>
            </w:pPr>
            <w:r>
              <w:rPr>
                <w:rFonts w:hint="eastAsia" w:ascii="宋体" w:hAnsi="宋体" w:eastAsia="宋体" w:cs="宋体"/>
                <w:color w:val="000000" w:themeColor="text1"/>
                <w:kern w:val="0"/>
                <w:szCs w:val="21"/>
              </w:rPr>
              <w:t>《消防法》第六十条、《北京市物业管理条例》第九十八条</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消防救援部门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3</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等线"/>
                <w:color w:val="000000" w:themeColor="text1"/>
                <w:szCs w:val="21"/>
              </w:rPr>
            </w:pPr>
            <w:r>
              <w:rPr>
                <w:rFonts w:hint="eastAsia" w:ascii="宋体" w:hAnsi="宋体" w:eastAsia="宋体" w:cs="等线"/>
                <w:color w:val="000000" w:themeColor="text1"/>
                <w:kern w:val="0"/>
                <w:szCs w:val="21"/>
              </w:rPr>
              <w:t>消防安全制度及消防安全责任</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对全员消防安全责任制，考核和奖惩，制定并组织落实本单位消防安全的规章制度和操作规程的情况进行检查</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是否建立健全全员消防安全责任制，并组织考核和奖惩；依照法律法规和标准的规定，结合本单位实际，制定并组织落实本单位消防安全的规章制度和操作规程</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单位主要负责人的消防安全职责主要包括下列内容：建立健全全员消防安全责任制，并组织考核和奖惩</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单位应当履行下列日常消防安全管理责任：依照法律法规和标准的规定，结合本单位实际，制定并组织落实本单位消防安全的规章制度和操作规程</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宋体"/>
                <w:color w:val="000000" w:themeColor="text1"/>
                <w:szCs w:val="21"/>
              </w:rPr>
            </w:pPr>
            <w:r>
              <w:rPr>
                <w:rFonts w:hint="eastAsia" w:ascii="宋体" w:hAnsi="宋体" w:eastAsia="宋体" w:cs="宋体"/>
                <w:color w:val="000000" w:themeColor="text1"/>
                <w:kern w:val="0"/>
                <w:szCs w:val="21"/>
              </w:rPr>
              <w:t>《北京市单位消防安全主体责任规定》第八条、第十条、第二十九条</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消防救援部门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4</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等线"/>
                <w:color w:val="000000" w:themeColor="text1"/>
                <w:szCs w:val="21"/>
              </w:rPr>
            </w:pPr>
            <w:r>
              <w:rPr>
                <w:rFonts w:hint="eastAsia" w:ascii="宋体" w:hAnsi="宋体" w:eastAsia="宋体" w:cs="等线"/>
                <w:color w:val="000000" w:themeColor="text1"/>
                <w:kern w:val="0"/>
                <w:szCs w:val="21"/>
              </w:rPr>
              <w:t>消防安全宣传教育</w:t>
            </w:r>
            <w:r>
              <w:rPr>
                <w:rFonts w:hint="eastAsia" w:ascii="宋体" w:hAnsi="宋体" w:eastAsia="宋体" w:cs="等线"/>
                <w:color w:val="000000" w:themeColor="text1"/>
                <w:spacing w:val="-4"/>
                <w:kern w:val="0"/>
                <w:szCs w:val="21"/>
              </w:rPr>
              <w:t>培训，提示火灾隐患</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等线"/>
                <w:color w:val="000000" w:themeColor="text1"/>
                <w:szCs w:val="21"/>
              </w:rPr>
            </w:pPr>
            <w:r>
              <w:rPr>
                <w:rFonts w:hint="eastAsia" w:ascii="宋体" w:hAnsi="宋体" w:eastAsia="宋体" w:cs="等线"/>
                <w:color w:val="000000" w:themeColor="text1"/>
                <w:kern w:val="0"/>
                <w:szCs w:val="21"/>
              </w:rPr>
              <w:t>对开展日常消防安全宣传教育培训情况进行检查</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是否开展日常消防安全宣传教育培训，提示火灾隐患</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单位应当履行下列消防宣传教育和培训责任：定期开展多种形式的全员消防宣传教育，保证员工具备必要的消防安全知识，增强火灾事故预防和应急处置能力；依照国家有关规定，对全体员工每年至少进行一次消防安全培训；对新上岗和进入新岗位的员工，在上岗前进行消防安全培训。</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住宅区的物业服务单位或者其他管理单位应当履行下列消防安全服务责任：</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开展日常消防宣传，提示火灾隐患，每年至少组织一次本单位员工和居民参加的灭火和应急疏散演练。</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《北京市单位消防安全主体责任规定》第十一条、第十三条</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消防救援部门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5</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16" w:lineRule="auto"/>
              <w:rPr>
                <w:rFonts w:ascii="宋体" w:hAnsi="宋体" w:eastAsia="宋体" w:cs="等线"/>
                <w:color w:val="000000" w:themeColor="text1"/>
                <w:szCs w:val="21"/>
              </w:rPr>
            </w:pPr>
            <w:r>
              <w:rPr>
                <w:rFonts w:hint="eastAsia" w:ascii="宋体" w:hAnsi="宋体" w:eastAsia="宋体" w:cs="等线"/>
                <w:color w:val="000000" w:themeColor="text1"/>
                <w:kern w:val="0"/>
                <w:szCs w:val="21"/>
              </w:rPr>
              <w:t>灭火和应急疏散演练，灭火技术训练</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16" w:lineRule="auto"/>
              <w:rPr>
                <w:rFonts w:ascii="宋体" w:hAnsi="宋体" w:eastAsia="宋体" w:cs="等线"/>
                <w:color w:val="000000" w:themeColor="text1"/>
                <w:szCs w:val="21"/>
              </w:rPr>
            </w:pPr>
            <w:r>
              <w:rPr>
                <w:rFonts w:hint="eastAsia" w:ascii="宋体" w:hAnsi="宋体" w:eastAsia="宋体" w:cs="等线"/>
                <w:color w:val="000000" w:themeColor="text1"/>
                <w:kern w:val="0"/>
                <w:szCs w:val="21"/>
              </w:rPr>
              <w:t>对住宅区的物业服务单位组织居民进行灭火和应急疏散演练情况进行检查</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16" w:lineRule="auto"/>
              <w:rPr>
                <w:rFonts w:ascii="宋体" w:hAnsi="宋体" w:eastAsia="宋体" w:cs="等线"/>
                <w:color w:val="000000" w:themeColor="text1"/>
                <w:szCs w:val="21"/>
              </w:rPr>
            </w:pPr>
            <w:r>
              <w:rPr>
                <w:rFonts w:hint="eastAsia" w:ascii="宋体" w:hAnsi="宋体" w:eastAsia="宋体" w:cs="等线"/>
                <w:color w:val="000000" w:themeColor="text1"/>
                <w:kern w:val="0"/>
                <w:szCs w:val="21"/>
              </w:rPr>
              <w:t>住宅区的物业服务企业或者其他管理人是否组织居民进行灭火和应急疏散演练</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住宅区的物业服务单位或者其他管理单位应当履行下列消防安全服务责任：开展日常消防宣传，提示火灾隐患，每年至少组织一次本单位员工和居民参加的灭火和应急疏散演练。</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textAlignment w:val="center"/>
              <w:rPr>
                <w:rFonts w:ascii="宋体" w:hAnsi="宋体" w:eastAsia="宋体" w:cs="宋体"/>
                <w:color w:val="000000" w:themeColor="text1"/>
                <w:szCs w:val="21"/>
              </w:rPr>
            </w:pPr>
            <w:r>
              <w:rPr>
                <w:rFonts w:hint="eastAsia" w:ascii="宋体" w:hAnsi="宋体" w:eastAsia="宋体" w:cs="等线"/>
                <w:color w:val="000000" w:themeColor="text1"/>
                <w:kern w:val="0"/>
                <w:szCs w:val="21"/>
              </w:rPr>
              <w:t>《北京市单位消防安全主体责任规定》第十三条</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消防救援部门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6</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16" w:lineRule="auto"/>
              <w:rPr>
                <w:rFonts w:ascii="宋体" w:hAnsi="宋体" w:eastAsia="宋体" w:cs="等线"/>
                <w:color w:val="000000" w:themeColor="text1"/>
                <w:szCs w:val="21"/>
              </w:rPr>
            </w:pPr>
            <w:r>
              <w:rPr>
                <w:rFonts w:hint="eastAsia" w:ascii="宋体" w:hAnsi="宋体" w:eastAsia="宋体" w:cs="等线"/>
                <w:color w:val="000000" w:themeColor="text1"/>
                <w:kern w:val="0"/>
                <w:szCs w:val="21"/>
              </w:rPr>
              <w:t>安全巡查，消防安全检查，火灾隐患处置</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216" w:lineRule="auto"/>
              <w:rPr>
                <w:rFonts w:ascii="宋体" w:hAnsi="宋体" w:eastAsia="宋体" w:cs="等线"/>
                <w:color w:val="000000" w:themeColor="text1"/>
                <w:szCs w:val="21"/>
              </w:rPr>
            </w:pPr>
            <w:r>
              <w:rPr>
                <w:rFonts w:hint="eastAsia" w:ascii="宋体" w:hAnsi="宋体" w:eastAsia="宋体" w:cs="等线"/>
                <w:color w:val="000000" w:themeColor="text1"/>
                <w:kern w:val="0"/>
                <w:szCs w:val="21"/>
              </w:rPr>
              <w:t>对组织安全巡查，进行经常性的消防安全检查和火灾隐患处置情况进行检查</w:t>
            </w:r>
            <w:r>
              <w:rPr>
                <w:rFonts w:ascii="宋体" w:hAnsi="宋体" w:eastAsia="宋体" w:cs="等线"/>
                <w:color w:val="000000" w:themeColor="text1"/>
                <w:szCs w:val="21"/>
              </w:rPr>
              <w:t xml:space="preserve"> </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是否组织安全巡查，进行经常性的消防安全检查，发现火灾隐患及时采取措施</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单位应当履行下列日常消防安全管理责任：定期开展防火检查，及时消除火灾隐患；不能及时消除的，应当采取防范措施，确保安全；防火检查等情况应当按照市消防救援机构的要求，通过信息系统如实记录。</w:t>
            </w:r>
          </w:p>
          <w:p>
            <w:pPr>
              <w:widowControl/>
              <w:snapToGrid w:val="0"/>
              <w:spacing w:line="216" w:lineRule="auto"/>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住宅区的物业服务单位或者其他管理单位应当履行下列消防安全服务责任：组织安全巡查，发现火灾隐患及时采取措施。</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《北京市单位消防安全主体责任规定》第十条、第十三条、第三十条</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消防救援部门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7</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消防设施、器材，设置消防安全标志配置维护</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对配置消防设施、器材，设置消防安全标志，定期组织检验、维修情况进行检查；对管理区域内的共用消防设施、器材进行维护管理进行检查</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是否按照国家标准、行业标准配置消防设施、器材，设置消防安全标志，并定期组织检验、维修，确保完好有效；对管理区域内的共用消防设施、器材进行维护管理，确保完好有效</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机关、团体、企业、事业等单位应当履行下列消防安全职责：按照国家标准、行业标准配置消防设施、器材，设置消防安全标志，并定期组织检验、维修，确保完好有效；</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 xml:space="preserve"> </w:t>
            </w:r>
            <w:r>
              <w:rPr>
                <w:rFonts w:ascii="宋体" w:hAnsi="宋体" w:eastAsia="宋体" w:cs="等线"/>
                <w:color w:val="000000" w:themeColor="text1"/>
                <w:kern w:val="0"/>
                <w:szCs w:val="21"/>
              </w:rPr>
              <w:t xml:space="preserve">   </w:t>
            </w:r>
            <w:r>
              <w:rPr>
                <w:rFonts w:hint="eastAsia" w:ascii="宋体" w:hAnsi="宋体" w:eastAsia="宋体" w:cs="等线"/>
                <w:color w:val="000000" w:themeColor="text1"/>
                <w:kern w:val="0"/>
                <w:szCs w:val="21"/>
              </w:rPr>
              <w:t>住宅区的物业服务企业或者其他管理人应当做好下列消防安全工作：对管理区域内的共用消防设施、器材进行维护管理，确保完好有效。</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《消防法》第六十条、《北京市消防条例》第八十一条</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消防救援部门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8</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劝阻并督促改占用、堵塞、封闭疏散通道、安全出口、消防车通道的行为</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对占用、堵塞、封闭疏散通道、安全出口、消防车通道的行为进行检查</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是否对占用、堵塞、封闭疏散通道、安全出口、消防车通道的行为予以劝阻并督促改</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住宅区的物业服务企业或者其他管理人应当做好下列消防安全工作：对占用、堵塞、封闭疏散通道、安全出口、消防车通道的行为予以劝阻并督促改正。</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《北京市消防条例》第八十一条</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消防救援部门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9</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初起火灾处置措施</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对消防队伍建设，消防装备，组织训练演练情况进行检查；对与消防救援机构建立联勤联动机制，扑救初起火灾的情况进行检查</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是否建立健全本单位消防队伍，配备消防装备，定期组织训练演练；与消防救援机构建立联勤联动机制，提高扑救初起火灾能力；发现火灾立即拨打“119”电话报告火警，并迅速组织人员疏散，扑救初起火灾</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单位应当履行下列火灾事故应急处置责任：</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依照本市有关规定，建立健全本单位专职消防队、志愿消防队和微型消防站等多种形式的消防队伍，配备消防装备，定期组织训练演练；</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与消防救援机构建立联勤联动机制，提高扑救初起火灾能力；</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发现火灾立即拨打“119”电话报告火警，并迅速组织人员疏散，扑救初起火灾；</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立即启动本单位灭火和应急疏散预案，承担应急疏散、火灾扑救职责的员工，应当在确认火灾后及时到达岗位；</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单位设有消防控制室的，应当立即启动应急广播系统、消防给水系统、防排烟系统等建筑消防设施。</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住宅区的物业服务单位或者其他管理单位应当履行下列消防安全服务责任：对初起火灾采取处置措施。</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《北京市单位消防安全主体责任规定》第十二条、第十三条</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消防救援部门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kern w:val="0"/>
                <w:szCs w:val="21"/>
              </w:rPr>
            </w:pPr>
            <w:r>
              <w:rPr>
                <w:rFonts w:ascii="宋体" w:hAnsi="宋体" w:eastAsia="宋体" w:cs="等线"/>
                <w:color w:val="000000" w:themeColor="text1"/>
                <w:kern w:val="0"/>
                <w:szCs w:val="21"/>
              </w:rPr>
              <w:t>1</w:t>
            </w:r>
            <w:r>
              <w:rPr>
                <w:rFonts w:hint="eastAsia" w:ascii="宋体" w:hAnsi="宋体" w:eastAsia="宋体" w:cs="等线"/>
                <w:color w:val="000000" w:themeColor="text1"/>
                <w:kern w:val="0"/>
                <w:szCs w:val="21"/>
              </w:rPr>
              <w:t>0</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火灾扑灭后处置</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对火灾扑灭后，是否及时保护现场，接受事故调查并如实提供火灾事故情况进行检查</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火灾扑灭后，是否及时保护现场，接受事故调查并如实提供火灾事故情况</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单位应当履行下列火灾事故应急处置责任：火灾扑灭后应当及时保护现场，接受事故调查，如实提供与火灾有关的情况。</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《北京市单位消防安全主体责任规定》第十二条</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消防救援部门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11</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暂时停用消防设施、器材替代措施</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对需要暂时停用消防设施、器材的，是否采取有效替代措施情况检查</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需要暂时停用消防设施、器材的，是否采取有效替代措施</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高层建筑的管理使用人应当遵守下列消防安全规定：需要暂时停用消防设施、器材的，采取有效替代措施；</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人防工程和普通地下室的管理使用人应当遵守下列消防安全规定：维修消防设施时采取有效的替代措施；</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因故障维修等原因需要暂时停用消防系统的，应有确保安全的有效措施</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城镇居民居住区（含居住小区）的消防安全责任单位应当履行下列义务：制定消防安全制度，落实消防安全责任。</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《北京市消防条例》第八十四条</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消防救援部门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ascii="宋体" w:hAnsi="宋体" w:eastAsia="宋体" w:cs="等线"/>
                <w:color w:val="000000" w:themeColor="text1"/>
                <w:kern w:val="0"/>
                <w:szCs w:val="21"/>
              </w:rPr>
              <w:t>1</w:t>
            </w:r>
            <w:r>
              <w:rPr>
                <w:rFonts w:hint="eastAsia" w:ascii="宋体" w:hAnsi="宋体" w:eastAsia="宋体" w:cs="等线"/>
                <w:color w:val="000000" w:themeColor="text1"/>
                <w:kern w:val="0"/>
                <w:szCs w:val="21"/>
              </w:rPr>
              <w:t>2</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是否生产、经营、储存易燃易爆危险品</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对是否生产、经营、储存易燃易爆危险品情况检查</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是否生产、经营、储存易燃易爆危险品</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人防工程和普通地下室的管理使用人应当遵守下列消防安全规定：不得生产、经营、储存易燃易爆危险品。</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《北京市消防条例》第八十四条</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消防救援部门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center"/>
              <w:textAlignment w:val="center"/>
              <w:rPr>
                <w:rFonts w:ascii="宋体" w:hAnsi="宋体" w:eastAsia="宋体" w:cs="等线"/>
                <w:color w:val="000000" w:themeColor="text1"/>
                <w:szCs w:val="21"/>
              </w:rPr>
            </w:pPr>
            <w:r>
              <w:rPr>
                <w:rFonts w:ascii="宋体" w:hAnsi="宋体" w:eastAsia="宋体" w:cs="等线"/>
                <w:color w:val="000000" w:themeColor="text1"/>
                <w:kern w:val="0"/>
                <w:szCs w:val="21"/>
              </w:rPr>
              <w:t>1</w:t>
            </w:r>
            <w:r>
              <w:rPr>
                <w:rFonts w:hint="eastAsia" w:ascii="宋体" w:hAnsi="宋体" w:eastAsia="宋体" w:cs="等线"/>
                <w:color w:val="000000" w:themeColor="text1"/>
                <w:kern w:val="0"/>
                <w:szCs w:val="21"/>
              </w:rPr>
              <w:t>3</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是否占用安全出口外的人员疏散场地</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对是否占用安全出口外的人员疏散场地情况检查</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是否占用安全出口外的人员疏散场地</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人防工程和普通地下室的管理使用人应当遵守下列消防安全规定：不得占用安全出口外的人员疏散场地。</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《北京市消防条例》第八十四条</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消防救援部门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center"/>
              <w:textAlignment w:val="center"/>
              <w:rPr>
                <w:rFonts w:ascii="宋体" w:hAnsi="宋体" w:eastAsia="宋体" w:cs="等线"/>
                <w:color w:val="000000" w:themeColor="text1"/>
                <w:szCs w:val="21"/>
              </w:rPr>
            </w:pPr>
            <w:r>
              <w:rPr>
                <w:rFonts w:ascii="宋体" w:hAnsi="宋体" w:eastAsia="宋体" w:cs="等线"/>
                <w:color w:val="000000" w:themeColor="text1"/>
                <w:kern w:val="0"/>
                <w:szCs w:val="21"/>
              </w:rPr>
              <w:t>1</w:t>
            </w:r>
            <w:r>
              <w:rPr>
                <w:rFonts w:hint="eastAsia" w:ascii="宋体" w:hAnsi="宋体" w:eastAsia="宋体" w:cs="等线"/>
                <w:color w:val="000000" w:themeColor="text1"/>
                <w:kern w:val="0"/>
                <w:szCs w:val="21"/>
              </w:rPr>
              <w:t>4</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是否使用液化石油气</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对是否使用液化石油气情况检查</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是否使用液化石油气</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人防工程和普通地下室的管理使用人应当遵守下列消防安全规定：不得使用液化石油气。　</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《北京市消防条例》第八十四条</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消防救援部门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15</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消防控制室，值班人员、值班制度</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对按国家标准设置消防控制室，值班人员遵守国家和本市消防控制室操作规程，按照规定落实消防控制室值班制度，安排具备相应条件的人员值班情况检查</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是否按国家标准设置消防控制室，值班人员遵守国家和本市消防控制室操作规程，按照规定落实消防控制室值班制度，安排具备相应条件的人员值班，不擅离职守</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单位应当履行下列消防安全职责：按照国家标准设置消防控制室，消防控制室的值班人员应当遵守国家和本市消防控制室操作规程，不得擅离职守。</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高层民用建筑消防控制室应当由其管理单位实行24小时值班制度，每班不应少于2名值班人员。</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消防控制室值班操作人员应当依法取得相应等级的消防行业特有工种职业资格证书，熟练掌握火警处置程序和要求，按照有关规定检查自动消防设施、联动控制设备运行情况，确保其处于正常工作状态。</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《北京市消防条例》第八十条、《高层民用建筑消防安全管理规定》第四十七条</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消防救援部门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ascii="宋体" w:hAnsi="宋体" w:eastAsia="宋体" w:cs="等线"/>
                <w:color w:val="000000" w:themeColor="text1"/>
                <w:kern w:val="0"/>
                <w:szCs w:val="21"/>
              </w:rPr>
              <w:t>1</w:t>
            </w:r>
            <w:r>
              <w:rPr>
                <w:rFonts w:hint="eastAsia" w:ascii="宋体" w:hAnsi="宋体" w:eastAsia="宋体" w:cs="等线"/>
                <w:color w:val="000000" w:themeColor="text1"/>
                <w:kern w:val="0"/>
                <w:szCs w:val="21"/>
              </w:rPr>
              <w:t>6</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明火作业</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对是否违反规定使用明火作业或者在具有火灾、爆炸危险的场所吸烟、使用明火；在高层民用建筑内进行电焊、气焊等明火作业，是否履行动火审批手续、进行公告，或消防现场监护措施；是否制定动火作业制度</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是否违反规定使用明火作业或者在具有火灾、爆炸危险的场所吸烟、使用明火；在高层民用建筑内进行电焊、气焊等明火作业，是否履行动火审批手续、进行公告，或消防现场监护措施；是否制定动火作业制度</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因施工等特殊情况需要使用明火作业的，应当按照规定事先办理审批手续，采取相应的消防安全措施；作业人员应当遵守消防安全规定。</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进行电焊、气焊等具有火灾危险作业的人员和自动消防系统的操作人员，必须持证上岗，并遵守消防安全操作规程。</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高层民用建筑的业主、使用人或者物业服务企业、统一管理人应当对动用明火作业实行严格的消防安全管理，不得在具有火灾、爆炸危险的场所使用明火；因施工等特殊情况需要进行电焊、气焊等明火作业的，应当按照规定办理动火审批手续，落实现场监护人，配备消防器材，并在建筑主入口和作业现场显著位置公告。作业人员应当依法持证上岗，严格遵守消防安全规定，清除周围及下方的易燃、可燃物，采取防火隔离措施。作业完毕后，应当进行全面检查，消除遗留火种。</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单位进行局部装修、改造施工，应当履行下列施工现场消防安全责任：制定动火作业管理制度，明确动火作业的安全要求、审批程序和责任人员，对动火作业实施审批管理。</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《消防法》第六十三条；《高层民用建筑消防安全管理规定》第四十七条；《北京市单位消防安全主体责任规定》第十六条、三十四条</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消防救援部门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ascii="宋体" w:hAnsi="宋体" w:eastAsia="宋体" w:cs="等线"/>
                <w:color w:val="000000" w:themeColor="text1"/>
                <w:kern w:val="0"/>
                <w:szCs w:val="21"/>
              </w:rPr>
              <w:t>1</w:t>
            </w:r>
            <w:r>
              <w:rPr>
                <w:rFonts w:hint="eastAsia" w:ascii="宋体" w:hAnsi="宋体" w:eastAsia="宋体" w:cs="等线"/>
                <w:color w:val="000000" w:themeColor="text1"/>
                <w:kern w:val="0"/>
                <w:szCs w:val="21"/>
              </w:rPr>
              <w:t>7</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高层民用建筑户外广告牌、外装饰采用易燃、可燃材料等</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对高层民用建筑的户外广告牌、外装饰是否采用易燃、可燃材料情况检查</w:t>
            </w:r>
            <w:r>
              <w:rPr>
                <w:rFonts w:ascii="宋体" w:hAnsi="宋体" w:eastAsia="宋体" w:cs="等线"/>
                <w:color w:val="000000" w:themeColor="text1"/>
                <w:szCs w:val="21"/>
              </w:rPr>
              <w:t xml:space="preserve"> </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高层民用建筑是否的户外广告牌、外装饰是否采用易燃、可燃材料，不得妨碍防烟排烟、逃生和灭火救援，不得改变或者破坏建筑立面防火结构</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高层民用建筑的户外广告牌、外装饰不得采用易燃、可燃材料，不得妨碍防烟排烟、逃生和灭火救援，不得改变或者破坏建筑立面防火结构。</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《高层民用建筑消防安全管理规定》第四十七条</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消防救援部门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ascii="宋体" w:hAnsi="宋体" w:eastAsia="宋体" w:cs="等线"/>
                <w:color w:val="000000" w:themeColor="text1"/>
                <w:kern w:val="0"/>
                <w:szCs w:val="21"/>
              </w:rPr>
              <w:t>1</w:t>
            </w:r>
            <w:r>
              <w:rPr>
                <w:rFonts w:hint="eastAsia" w:ascii="宋体" w:hAnsi="宋体" w:eastAsia="宋体" w:cs="等线"/>
                <w:color w:val="000000" w:themeColor="text1"/>
                <w:kern w:val="0"/>
                <w:szCs w:val="21"/>
              </w:rPr>
              <w:t>8</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高层民用建筑改变、破坏建筑立面防火结构</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对高层民用建筑改变、破坏建筑立面防火结构情况检查</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高层民用建筑是否改变、破坏建筑立面防火结构</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高层民用建筑的户外广告牌、外装饰不得采用易燃、可燃材料，不得妨碍防烟排烟、逃生和灭火救援，不得改变或者破坏建筑立面防火结构。</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《高层民用建筑消防安全管理规定》第四十七条</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消防救援部门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19</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设置外墙外保温材料提示性和警示性标识</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对设置外墙外保温材料提示性和警示性标识情况检查</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未设置外墙外保温材料提示性和警示性标识</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设有建筑外墙外保温系统的高层民用建筑，其管理单位应当在主入口及周边相关显著位置，设置提示性和警示性标识，标示外墙外保温材料的燃烧性能、防火要求。</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《高层民用建筑消防安全管理规定》第四十七条</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消防救援部门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ascii="宋体" w:hAnsi="宋体" w:eastAsia="宋体" w:cs="等线"/>
                <w:color w:val="000000" w:themeColor="text1"/>
                <w:kern w:val="0"/>
                <w:szCs w:val="21"/>
              </w:rPr>
              <w:t>2</w:t>
            </w:r>
            <w:r>
              <w:rPr>
                <w:rFonts w:hint="eastAsia" w:ascii="宋体" w:hAnsi="宋体" w:eastAsia="宋体" w:cs="等线"/>
                <w:color w:val="000000" w:themeColor="text1"/>
                <w:kern w:val="0"/>
                <w:szCs w:val="21"/>
              </w:rPr>
              <w:t>0</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及时修复破损、开裂和脱落的外墙外保温系统情况</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对及时修复破损、开裂和脱落的外墙外保温系统的情况检查</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是否及时修复破损、开裂和脱落的外墙外保温系统的</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对高层民用建筑外墙外保温系统破损、开裂和脱落的，应当及时修复。</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《高层民用建筑消防安全管理规定》第四十七条</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消防救援部门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ascii="宋体" w:hAnsi="宋体" w:eastAsia="宋体" w:cs="等线"/>
                <w:color w:val="000000" w:themeColor="text1"/>
                <w:kern w:val="0"/>
                <w:szCs w:val="21"/>
              </w:rPr>
              <w:t>2</w:t>
            </w:r>
            <w:r>
              <w:rPr>
                <w:rFonts w:hint="eastAsia" w:ascii="宋体" w:hAnsi="宋体" w:eastAsia="宋体" w:cs="等线"/>
                <w:color w:val="000000" w:themeColor="text1"/>
                <w:kern w:val="0"/>
                <w:szCs w:val="21"/>
              </w:rPr>
              <w:t>1</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建立专职消防队、志愿消防队等消防组织</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检查按照规定建立专职消防队、志愿消防队等消防组织的情况</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是否按照规定建立专职消防队、志愿消防队等消防组织</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高层公共建筑内有关单位、高层住宅建筑所在社区居民委员会或者物业服务企业按照规定建立的专职消防队、志愿消防队（微型消防站）等消防组织，应当配备必要的人员、场所和器材、装备，定期进行消防技能培训和演练，开展防火巡查、消防宣传，及时处置、扑救初起火灾。</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《高层民用建筑消防安全管理规定》第四十七条</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消防救援部门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04" w:lineRule="auto"/>
              <w:jc w:val="center"/>
              <w:textAlignment w:val="center"/>
              <w:rPr>
                <w:rFonts w:ascii="宋体" w:hAnsi="宋体" w:eastAsia="宋体" w:cs="等线"/>
                <w:color w:val="000000" w:themeColor="text1"/>
                <w:szCs w:val="21"/>
              </w:rPr>
            </w:pPr>
            <w:r>
              <w:rPr>
                <w:rFonts w:ascii="宋体" w:hAnsi="宋体" w:eastAsia="宋体" w:cs="等线"/>
                <w:color w:val="000000" w:themeColor="text1"/>
                <w:kern w:val="0"/>
                <w:szCs w:val="21"/>
              </w:rPr>
              <w:t>2</w:t>
            </w:r>
            <w:r>
              <w:rPr>
                <w:rFonts w:hint="eastAsia" w:ascii="宋体" w:hAnsi="宋体" w:eastAsia="宋体" w:cs="等线"/>
                <w:color w:val="000000" w:themeColor="text1"/>
                <w:kern w:val="0"/>
                <w:szCs w:val="21"/>
              </w:rPr>
              <w:t>2</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04" w:lineRule="auto"/>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擅自拆除、停用消防设施、器材</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04" w:lineRule="auto"/>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检查擅自拆除、停用消防设施、器材；因维修等需要停用建筑消防设施的，高层民用建筑的管理单位是否严格履行内部审批手续，制定应急方案，落实防范措施，并在建筑入口处等显著位置公告的情况</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04" w:lineRule="auto"/>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是否擅自拆除、停用消防设施、器材；因维修等需要停用建筑消防设施的，高层民用建筑的管理单位是否严格履行内部审批手续，制定应急方案，落实防范措施，并在建筑入口处等显著位置公告</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04" w:lineRule="auto"/>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任何单位、个人不得擅自拆除、停用消防设施、器材。</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 xml:space="preserve"> </w:t>
            </w:r>
            <w:r>
              <w:rPr>
                <w:rFonts w:ascii="宋体" w:hAnsi="宋体" w:eastAsia="宋体" w:cs="等线"/>
                <w:color w:val="000000" w:themeColor="text1"/>
                <w:kern w:val="0"/>
                <w:szCs w:val="21"/>
              </w:rPr>
              <w:t xml:space="preserve">   </w:t>
            </w:r>
            <w:r>
              <w:rPr>
                <w:rFonts w:hint="eastAsia" w:ascii="宋体" w:hAnsi="宋体" w:eastAsia="宋体" w:cs="等线"/>
                <w:color w:val="000000" w:themeColor="text1"/>
                <w:kern w:val="0"/>
                <w:szCs w:val="21"/>
              </w:rPr>
              <w:t>因维修等需要停用建筑消防设施的，高层民用建筑的管理单位应当严格履行内部审批手续，制定应急方案，落实防范措施，并在建筑入口处等显著位置公告。</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04" w:lineRule="auto"/>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《消防法》第六十条、《高层民用建筑消防安全管理规定》第四十七条</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04"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消防救援部门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04"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04" w:lineRule="auto"/>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04" w:lineRule="auto"/>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04"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04"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04"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04"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04" w:lineRule="auto"/>
              <w:jc w:val="center"/>
              <w:textAlignment w:val="center"/>
              <w:rPr>
                <w:rFonts w:ascii="宋体" w:hAnsi="宋体" w:eastAsia="宋体" w:cs="等线"/>
                <w:color w:val="000000" w:themeColor="text1"/>
                <w:szCs w:val="21"/>
              </w:rPr>
            </w:pPr>
            <w:r>
              <w:rPr>
                <w:rFonts w:ascii="宋体" w:hAnsi="宋体" w:eastAsia="宋体" w:cs="等线"/>
                <w:color w:val="000000" w:themeColor="text1"/>
                <w:kern w:val="0"/>
                <w:szCs w:val="21"/>
              </w:rPr>
              <w:t>2</w:t>
            </w:r>
            <w:r>
              <w:rPr>
                <w:rFonts w:hint="eastAsia" w:ascii="宋体" w:hAnsi="宋体" w:eastAsia="宋体" w:cs="等线"/>
                <w:color w:val="000000" w:themeColor="text1"/>
                <w:kern w:val="0"/>
                <w:szCs w:val="21"/>
              </w:rPr>
              <w:t>3</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04" w:lineRule="auto"/>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违规停放电动自行车或者为电动自行车充电。</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04" w:lineRule="auto"/>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检查在高层民用建筑公共门厅、疏散走道、楼梯间、安全出口停放电动自行车或者为电动自行车充电情况</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04" w:lineRule="auto"/>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是否在高层民用建筑公共门厅、疏散走道、楼梯间、安全出口停放电动自行车或者为电动自行车充电。是否设置电动自行车停放、充电场所，并采取措施，制止在建筑物内违规停放电动自行车或者为电动自行车充电的行为</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04" w:lineRule="auto"/>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禁止在高层民用建筑公共门厅、疏散走道、楼梯间、安全出口停放电动自行车或者为电动自行车充电。</w:t>
            </w:r>
          </w:p>
          <w:p>
            <w:pPr>
              <w:widowControl/>
              <w:snapToGrid w:val="0"/>
              <w:spacing w:line="204" w:lineRule="auto"/>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单位应当履行下列日常消防安全管理责任：加强本单位电动自行车消防安全管理，依照国家和本市有关标准，设置电动自行车停放、充电场所，并采取措施，制止在建筑物内违规停放电动自行车或者为电动自行车充电的行为。</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04" w:lineRule="auto"/>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《高层民用建筑消防安全管理规定》第四十七条；《北京市单位消防安全主体责任规定》第十条、第三十一条</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04"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消防救援部门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04"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04" w:lineRule="auto"/>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04" w:lineRule="auto"/>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04"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04"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04"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04" w:lineRule="auto"/>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bl>
    <w:p>
      <w:pPr>
        <w:snapToGrid w:val="0"/>
        <w:spacing w:line="20" w:lineRule="exact"/>
      </w:pPr>
      <w:r>
        <w:br w:type="page"/>
      </w:r>
    </w:p>
    <w:tbl>
      <w:tblPr>
        <w:tblStyle w:val="26"/>
        <w:tblW w:w="13608" w:type="dxa"/>
        <w:jc w:val="center"/>
        <w:tblLayout w:type="fixed"/>
        <w:tblCellMar>
          <w:top w:w="0" w:type="dxa"/>
          <w:left w:w="108" w:type="dxa"/>
          <w:bottom w:w="0" w:type="dxa"/>
          <w:right w:w="108" w:type="dxa"/>
        </w:tblCellMar>
      </w:tblPr>
      <w:tblGrid>
        <w:gridCol w:w="432"/>
        <w:gridCol w:w="1038"/>
        <w:gridCol w:w="1489"/>
        <w:gridCol w:w="1455"/>
        <w:gridCol w:w="2967"/>
        <w:gridCol w:w="1038"/>
        <w:gridCol w:w="646"/>
        <w:gridCol w:w="761"/>
        <w:gridCol w:w="726"/>
        <w:gridCol w:w="1466"/>
        <w:gridCol w:w="461"/>
        <w:gridCol w:w="357"/>
        <w:gridCol w:w="415"/>
        <w:gridCol w:w="357"/>
      </w:tblGrid>
      <w:tr>
        <w:tblPrEx>
          <w:tblCellMar>
            <w:top w:w="0" w:type="dxa"/>
            <w:left w:w="108" w:type="dxa"/>
            <w:bottom w:w="0" w:type="dxa"/>
            <w:right w:w="108" w:type="dxa"/>
          </w:tblCellMar>
        </w:tblPrEx>
        <w:trPr>
          <w:trHeight w:val="901" w:hRule="atLeast"/>
          <w:jc w:val="center"/>
        </w:trPr>
        <w:tc>
          <w:tcPr>
            <w:tcW w:w="14669"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pPr>
              <w:pStyle w:val="5"/>
              <w:jc w:val="center"/>
              <w:rPr>
                <w:rFonts w:ascii="等线" w:hAnsi="等线" w:cs="等线"/>
                <w:color w:val="000000" w:themeColor="text1"/>
                <w:sz w:val="22"/>
                <w:szCs w:val="22"/>
              </w:rPr>
            </w:pPr>
            <w:bookmarkStart w:id="188" w:name="_Toc150435310"/>
            <w:r>
              <w:rPr>
                <w:rFonts w:hint="eastAsia"/>
                <w:color w:val="000000" w:themeColor="text1"/>
              </w:rPr>
              <w:t>绿化养护方面</w:t>
            </w:r>
            <w:bookmarkEnd w:id="188"/>
          </w:p>
        </w:tc>
      </w:tr>
      <w:tr>
        <w:tblPrEx>
          <w:tblCellMar>
            <w:top w:w="0" w:type="dxa"/>
            <w:left w:w="108" w:type="dxa"/>
            <w:bottom w:w="0" w:type="dxa"/>
            <w:right w:w="108" w:type="dxa"/>
          </w:tblCellMar>
        </w:tblPrEx>
        <w:trPr>
          <w:trHeight w:val="772" w:hRule="atLeast"/>
          <w:jc w:val="center"/>
        </w:trPr>
        <w:tc>
          <w:tcPr>
            <w:tcW w:w="452"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Cs w:val="21"/>
              </w:rPr>
              <w:t>序号</w:t>
            </w:r>
          </w:p>
        </w:tc>
        <w:tc>
          <w:tcPr>
            <w:tcW w:w="1121"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0"/>
                <w:szCs w:val="20"/>
              </w:rPr>
            </w:pPr>
            <w:r>
              <w:rPr>
                <w:rFonts w:hint="eastAsia" w:ascii="黑体" w:hAnsi="宋体" w:eastAsia="黑体" w:cs="黑体"/>
                <w:b/>
                <w:bCs/>
                <w:color w:val="000000" w:themeColor="text1"/>
                <w:kern w:val="0"/>
                <w:szCs w:val="21"/>
              </w:rPr>
              <w:t>检查事项</w:t>
            </w:r>
          </w:p>
        </w:tc>
        <w:tc>
          <w:tcPr>
            <w:tcW w:w="1618"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0"/>
                <w:szCs w:val="20"/>
              </w:rPr>
            </w:pPr>
            <w:r>
              <w:rPr>
                <w:rFonts w:hint="eastAsia" w:ascii="黑体" w:hAnsi="宋体" w:eastAsia="黑体" w:cs="黑体"/>
                <w:b/>
                <w:bCs/>
                <w:color w:val="000000" w:themeColor="text1"/>
                <w:kern w:val="0"/>
                <w:szCs w:val="21"/>
              </w:rPr>
              <w:t>检查子事项</w:t>
            </w:r>
          </w:p>
        </w:tc>
        <w:tc>
          <w:tcPr>
            <w:tcW w:w="1580"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0"/>
                <w:szCs w:val="20"/>
              </w:rPr>
            </w:pPr>
            <w:r>
              <w:rPr>
                <w:rFonts w:hint="eastAsia" w:ascii="黑体" w:hAnsi="宋体" w:eastAsia="黑体" w:cs="黑体"/>
                <w:b/>
                <w:bCs/>
                <w:color w:val="000000" w:themeColor="text1"/>
                <w:kern w:val="0"/>
                <w:szCs w:val="21"/>
              </w:rPr>
              <w:t>检查内容</w:t>
            </w:r>
          </w:p>
        </w:tc>
        <w:tc>
          <w:tcPr>
            <w:tcW w:w="3248"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宋体"/>
                <w:color w:val="000000" w:themeColor="text1"/>
                <w:kern w:val="0"/>
                <w:sz w:val="20"/>
                <w:szCs w:val="20"/>
              </w:rPr>
            </w:pPr>
            <w:r>
              <w:rPr>
                <w:rFonts w:hint="eastAsia" w:ascii="黑体" w:hAnsi="宋体" w:eastAsia="黑体" w:cs="黑体"/>
                <w:b/>
                <w:bCs/>
                <w:color w:val="000000" w:themeColor="text1"/>
                <w:kern w:val="0"/>
                <w:szCs w:val="21"/>
              </w:rPr>
              <w:t>合格标准</w:t>
            </w:r>
          </w:p>
        </w:tc>
        <w:tc>
          <w:tcPr>
            <w:tcW w:w="1121"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宋体"/>
                <w:color w:val="000000" w:themeColor="text1"/>
                <w:kern w:val="0"/>
                <w:sz w:val="20"/>
                <w:szCs w:val="20"/>
              </w:rPr>
            </w:pPr>
            <w:r>
              <w:rPr>
                <w:rFonts w:hint="eastAsia" w:ascii="黑体" w:hAnsi="宋体" w:eastAsia="黑体" w:cs="黑体"/>
                <w:b/>
                <w:bCs/>
                <w:color w:val="000000" w:themeColor="text1"/>
                <w:kern w:val="0"/>
                <w:szCs w:val="21"/>
              </w:rPr>
              <w:t>标准对应的依据</w:t>
            </w:r>
          </w:p>
        </w:tc>
        <w:tc>
          <w:tcPr>
            <w:tcW w:w="688"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0"/>
                <w:szCs w:val="20"/>
              </w:rPr>
            </w:pPr>
            <w:r>
              <w:rPr>
                <w:rFonts w:hint="eastAsia" w:ascii="黑体" w:hAnsi="宋体" w:eastAsia="黑体" w:cs="黑体"/>
                <w:b/>
                <w:bCs/>
                <w:color w:val="000000" w:themeColor="text1"/>
                <w:kern w:val="0"/>
                <w:szCs w:val="21"/>
              </w:rPr>
              <w:t>监管部门</w:t>
            </w:r>
          </w:p>
        </w:tc>
        <w:tc>
          <w:tcPr>
            <w:tcW w:w="815" w:type="dxa"/>
            <w:vMerge w:val="restart"/>
            <w:tcBorders>
              <w:top w:val="single" w:color="000000" w:sz="4" w:space="0"/>
              <w:left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0"/>
                <w:szCs w:val="20"/>
              </w:rPr>
            </w:pPr>
            <w:r>
              <w:rPr>
                <w:rFonts w:hint="eastAsia" w:ascii="黑体" w:hAnsi="宋体" w:eastAsia="黑体" w:cs="黑体"/>
                <w:b/>
                <w:bCs/>
                <w:color w:val="000000" w:themeColor="text1"/>
                <w:kern w:val="0"/>
                <w:szCs w:val="21"/>
              </w:rPr>
              <w:t>检查层级</w:t>
            </w:r>
          </w:p>
        </w:tc>
        <w:tc>
          <w:tcPr>
            <w:tcW w:w="777"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Cs w:val="21"/>
              </w:rPr>
              <w:t>检查方法</w:t>
            </w:r>
          </w:p>
        </w:tc>
        <w:tc>
          <w:tcPr>
            <w:tcW w:w="1593"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Cs w:val="21"/>
              </w:rPr>
              <w:t>检查结果</w:t>
            </w:r>
          </w:p>
        </w:tc>
        <w:tc>
          <w:tcPr>
            <w:tcW w:w="165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2"/>
              </w:rPr>
            </w:pPr>
            <w:r>
              <w:rPr>
                <w:rFonts w:ascii="宋体" w:hAnsi="宋体" w:eastAsia="宋体" w:cs="宋体"/>
                <w:b/>
                <w:bCs/>
                <w:color w:val="000000" w:themeColor="text1"/>
                <w:kern w:val="0"/>
                <w:sz w:val="20"/>
                <w:szCs w:val="20"/>
              </w:rPr>
              <w:t>检查项分级标注</w:t>
            </w:r>
          </w:p>
        </w:tc>
      </w:tr>
      <w:tr>
        <w:tblPrEx>
          <w:tblCellMar>
            <w:top w:w="0" w:type="dxa"/>
            <w:left w:w="108" w:type="dxa"/>
            <w:bottom w:w="0" w:type="dxa"/>
            <w:right w:w="108" w:type="dxa"/>
          </w:tblCellMar>
        </w:tblPrEx>
        <w:trPr>
          <w:trHeight w:val="450" w:hRule="atLeast"/>
          <w:jc w:val="center"/>
        </w:trPr>
        <w:tc>
          <w:tcPr>
            <w:tcW w:w="452"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1121"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1618"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1580"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3248"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1121"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688"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815" w:type="dxa"/>
            <w:vMerge w:val="continue"/>
            <w:tcBorders>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color w:val="000000" w:themeColor="text1"/>
              </w:rPr>
            </w:pPr>
          </w:p>
        </w:tc>
        <w:tc>
          <w:tcPr>
            <w:tcW w:w="777"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1593"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 w:val="20"/>
                <w:szCs w:val="20"/>
              </w:rPr>
              <w:t>A</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 w:val="20"/>
                <w:szCs w:val="20"/>
              </w:rPr>
              <w:t>B</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 w:val="20"/>
                <w:szCs w:val="20"/>
              </w:rPr>
              <w:t>C</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 w:val="20"/>
                <w:szCs w:val="20"/>
              </w:rPr>
              <w:t>D</w:t>
            </w:r>
          </w:p>
        </w:tc>
      </w:tr>
      <w:tr>
        <w:tblPrEx>
          <w:tblCellMar>
            <w:top w:w="0" w:type="dxa"/>
            <w:left w:w="108" w:type="dxa"/>
            <w:bottom w:w="0" w:type="dxa"/>
            <w:right w:w="108" w:type="dxa"/>
          </w:tblCellMar>
        </w:tblPrEx>
        <w:trPr>
          <w:trHeight w:val="3380" w:hRule="atLeast"/>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ascii="宋体" w:hAnsi="宋体" w:eastAsia="宋体" w:cs="等线"/>
                <w:color w:val="000000" w:themeColor="text1"/>
                <w:kern w:val="0"/>
                <w:szCs w:val="21"/>
              </w:rPr>
              <w:t>1</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居住区绿地失管</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检查居住区绿地是否失管</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居住区绿地是否失管</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住区、居住小区附属绿化工程竣工后，建设单位应当制作绿地平面图标牌，在居住区、居住小区的显著位置进行永久公示。</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管护单位应当按照国家和本市绿地、树木养护规范对绿地、树木进行管护并做好防火工作。</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园林绿化部门应当对绿地、树木的管护给予技术指导。</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居住区内严重影响居住采光、通风、安全的树木，管护单位应当按照有关技术规范及时组织修剪。当事人应当协助管护单位做好修剪工作。</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《北京市绿化条例》第二十五条、第六十五条、第七十六条</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城管执法部门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szCs w:val="21"/>
              </w:rPr>
            </w:pPr>
            <w:r>
              <w:rPr>
                <w:rFonts w:hint="eastAsia" w:ascii="宋体" w:hAnsi="宋体" w:eastAsia="宋体" w:cs="等线"/>
                <w:color w:val="000000" w:themeColor="text1"/>
                <w:kern w:val="0"/>
                <w:szCs w:val="21"/>
              </w:rPr>
              <w:t>√</w:t>
            </w:r>
          </w:p>
        </w:tc>
      </w:tr>
      <w:tr>
        <w:tblPrEx>
          <w:tblCellMar>
            <w:top w:w="0" w:type="dxa"/>
            <w:left w:w="108" w:type="dxa"/>
            <w:bottom w:w="0" w:type="dxa"/>
            <w:right w:w="108" w:type="dxa"/>
          </w:tblCellMar>
        </w:tblPrEx>
        <w:trPr>
          <w:trHeight w:val="274" w:hRule="atLeast"/>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kern w:val="0"/>
                <w:szCs w:val="21"/>
              </w:rPr>
            </w:pPr>
            <w:r>
              <w:rPr>
                <w:rFonts w:ascii="宋体" w:hAnsi="宋体" w:eastAsia="宋体" w:cs="等线"/>
                <w:color w:val="000000" w:themeColor="text1"/>
                <w:kern w:val="0"/>
                <w:szCs w:val="21"/>
              </w:rPr>
              <w:t>2</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破坏绿地行为</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检查破坏绿地行为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是否存在破坏绿地行为</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禁止下列损害绿化的行为：</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在树木旁或者绿地内倾倒、排放污水、垃圾、渣土及其他废弃物；</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损毁树木、花草及绿化设施；在树木或者绿化设施上悬挂广告牌或者其他物品；</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在绿地内取土、搭建构筑物；</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在绿地内用火、烧烤；</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违反国家和本市有关规定截除树木主干、去除树冠；</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其他损害绿化成果及绿化设施的行为。</w:t>
            </w:r>
          </w:p>
          <w:p>
            <w:pPr>
              <w:widowControl/>
              <w:snapToGrid w:val="0"/>
              <w:ind w:firstLine="420" w:firstLineChars="20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何单位和个人不得擅自改变绿地的性质和用途。严格限制移植树木。未经批准不得临时占用绿地。</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《北京市绿化条例》第六十七条、第六十八条、第六十九条、第七十条</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城管执法部门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□未发现问题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□发现问题</w:t>
            </w:r>
            <w:r>
              <w:rPr>
                <w:rFonts w:hint="eastAsia" w:ascii="宋体" w:hAnsi="宋体" w:eastAsia="宋体" w:cs="等线"/>
                <w:color w:val="000000" w:themeColor="text1"/>
                <w:kern w:val="0"/>
                <w:szCs w:val="21"/>
              </w:rPr>
              <w:br w:type="textWrapping"/>
            </w:r>
            <w:r>
              <w:rPr>
                <w:rFonts w:hint="eastAsia" w:ascii="宋体" w:hAnsi="宋体" w:eastAsia="宋体" w:cs="等线"/>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宋体" w:hAnsi="宋体" w:eastAsia="宋体" w:cs="等线"/>
                <w:color w:val="000000" w:themeColor="text1"/>
                <w:kern w:val="0"/>
                <w:szCs w:val="21"/>
              </w:rPr>
            </w:pPr>
            <w:r>
              <w:rPr>
                <w:rFonts w:hint="eastAsia" w:ascii="宋体" w:hAnsi="宋体" w:eastAsia="宋体" w:cs="等线"/>
                <w:color w:val="000000" w:themeColor="text1"/>
                <w:kern w:val="0"/>
                <w:szCs w:val="21"/>
              </w:rPr>
              <w:t>√</w:t>
            </w:r>
          </w:p>
        </w:tc>
      </w:tr>
    </w:tbl>
    <w:p>
      <w:pPr>
        <w:rPr>
          <w:color w:val="000000" w:themeColor="text1"/>
        </w:rPr>
      </w:pPr>
      <w:r>
        <w:rPr>
          <w:color w:val="000000" w:themeColor="text1"/>
        </w:rPr>
        <w:br w:type="page"/>
      </w:r>
    </w:p>
    <w:tbl>
      <w:tblPr>
        <w:tblStyle w:val="26"/>
        <w:tblW w:w="13608" w:type="dxa"/>
        <w:jc w:val="center"/>
        <w:tblLayout w:type="fixed"/>
        <w:tblCellMar>
          <w:top w:w="0" w:type="dxa"/>
          <w:left w:w="108" w:type="dxa"/>
          <w:bottom w:w="0" w:type="dxa"/>
          <w:right w:w="108" w:type="dxa"/>
        </w:tblCellMar>
      </w:tblPr>
      <w:tblGrid>
        <w:gridCol w:w="432"/>
        <w:gridCol w:w="1038"/>
        <w:gridCol w:w="1489"/>
        <w:gridCol w:w="1455"/>
        <w:gridCol w:w="2967"/>
        <w:gridCol w:w="1038"/>
        <w:gridCol w:w="646"/>
        <w:gridCol w:w="761"/>
        <w:gridCol w:w="726"/>
        <w:gridCol w:w="1466"/>
        <w:gridCol w:w="461"/>
        <w:gridCol w:w="357"/>
        <w:gridCol w:w="415"/>
        <w:gridCol w:w="357"/>
      </w:tblGrid>
      <w:tr>
        <w:tblPrEx>
          <w:tblCellMar>
            <w:top w:w="0" w:type="dxa"/>
            <w:left w:w="108" w:type="dxa"/>
            <w:bottom w:w="0" w:type="dxa"/>
            <w:right w:w="108" w:type="dxa"/>
          </w:tblCellMar>
        </w:tblPrEx>
        <w:trPr>
          <w:trHeight w:val="929" w:hRule="atLeast"/>
          <w:jc w:val="center"/>
        </w:trPr>
        <w:tc>
          <w:tcPr>
            <w:tcW w:w="14669"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pPr>
              <w:pStyle w:val="5"/>
              <w:jc w:val="center"/>
              <w:rPr>
                <w:rFonts w:ascii="等线" w:hAnsi="等线" w:cs="等线"/>
                <w:color w:val="000000" w:themeColor="text1"/>
                <w:sz w:val="22"/>
                <w:szCs w:val="22"/>
              </w:rPr>
            </w:pPr>
            <w:bookmarkStart w:id="189" w:name="_Toc150435311"/>
            <w:r>
              <w:rPr>
                <w:rFonts w:hint="eastAsia"/>
                <w:color w:val="000000" w:themeColor="text1"/>
              </w:rPr>
              <w:t>生活垃圾分类方面</w:t>
            </w:r>
            <w:bookmarkEnd w:id="189"/>
          </w:p>
        </w:tc>
      </w:tr>
      <w:tr>
        <w:tblPrEx>
          <w:tblCellMar>
            <w:top w:w="0" w:type="dxa"/>
            <w:left w:w="108" w:type="dxa"/>
            <w:bottom w:w="0" w:type="dxa"/>
            <w:right w:w="108" w:type="dxa"/>
          </w:tblCellMar>
        </w:tblPrEx>
        <w:trPr>
          <w:trHeight w:val="497" w:hRule="atLeast"/>
          <w:jc w:val="center"/>
        </w:trPr>
        <w:tc>
          <w:tcPr>
            <w:tcW w:w="452"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Cs w:val="21"/>
              </w:rPr>
              <w:t>序号</w:t>
            </w:r>
          </w:p>
        </w:tc>
        <w:tc>
          <w:tcPr>
            <w:tcW w:w="1121"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宋体"/>
                <w:color w:val="000000" w:themeColor="text1"/>
                <w:kern w:val="0"/>
                <w:sz w:val="20"/>
                <w:szCs w:val="20"/>
              </w:rPr>
            </w:pPr>
            <w:r>
              <w:rPr>
                <w:rFonts w:hint="eastAsia" w:ascii="黑体" w:hAnsi="宋体" w:eastAsia="黑体" w:cs="黑体"/>
                <w:b/>
                <w:bCs/>
                <w:color w:val="000000" w:themeColor="text1"/>
                <w:kern w:val="0"/>
                <w:szCs w:val="21"/>
              </w:rPr>
              <w:t>检查事项</w:t>
            </w:r>
          </w:p>
        </w:tc>
        <w:tc>
          <w:tcPr>
            <w:tcW w:w="1618"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宋体"/>
                <w:color w:val="000000" w:themeColor="text1"/>
                <w:kern w:val="0"/>
                <w:sz w:val="20"/>
                <w:szCs w:val="20"/>
              </w:rPr>
            </w:pPr>
            <w:r>
              <w:rPr>
                <w:rFonts w:hint="eastAsia" w:ascii="黑体" w:hAnsi="宋体" w:eastAsia="黑体" w:cs="黑体"/>
                <w:b/>
                <w:bCs/>
                <w:color w:val="000000" w:themeColor="text1"/>
                <w:kern w:val="0"/>
                <w:szCs w:val="21"/>
              </w:rPr>
              <w:t>检查子事项</w:t>
            </w:r>
          </w:p>
        </w:tc>
        <w:tc>
          <w:tcPr>
            <w:tcW w:w="1580"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宋体"/>
                <w:color w:val="000000" w:themeColor="text1"/>
                <w:kern w:val="0"/>
                <w:sz w:val="20"/>
                <w:szCs w:val="20"/>
              </w:rPr>
            </w:pPr>
            <w:r>
              <w:rPr>
                <w:rFonts w:hint="eastAsia" w:ascii="黑体" w:hAnsi="宋体" w:eastAsia="黑体" w:cs="黑体"/>
                <w:b/>
                <w:bCs/>
                <w:color w:val="000000" w:themeColor="text1"/>
                <w:kern w:val="0"/>
                <w:szCs w:val="21"/>
              </w:rPr>
              <w:t>检查内容</w:t>
            </w:r>
          </w:p>
        </w:tc>
        <w:tc>
          <w:tcPr>
            <w:tcW w:w="3248"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宋体"/>
                <w:color w:val="000000" w:themeColor="text1"/>
                <w:kern w:val="0"/>
                <w:sz w:val="20"/>
                <w:szCs w:val="20"/>
              </w:rPr>
            </w:pPr>
            <w:r>
              <w:rPr>
                <w:rFonts w:hint="eastAsia" w:ascii="黑体" w:hAnsi="宋体" w:eastAsia="黑体" w:cs="黑体"/>
                <w:b/>
                <w:bCs/>
                <w:color w:val="000000" w:themeColor="text1"/>
                <w:kern w:val="0"/>
                <w:szCs w:val="21"/>
              </w:rPr>
              <w:t>合格标准</w:t>
            </w:r>
          </w:p>
        </w:tc>
        <w:tc>
          <w:tcPr>
            <w:tcW w:w="1121"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宋体"/>
                <w:color w:val="000000" w:themeColor="text1"/>
                <w:kern w:val="0"/>
                <w:sz w:val="20"/>
                <w:szCs w:val="20"/>
              </w:rPr>
            </w:pPr>
            <w:r>
              <w:rPr>
                <w:rFonts w:hint="eastAsia" w:ascii="黑体" w:hAnsi="宋体" w:eastAsia="黑体" w:cs="黑体"/>
                <w:b/>
                <w:bCs/>
                <w:color w:val="000000" w:themeColor="text1"/>
                <w:kern w:val="0"/>
                <w:szCs w:val="21"/>
              </w:rPr>
              <w:t>标准对应的依据</w:t>
            </w:r>
          </w:p>
        </w:tc>
        <w:tc>
          <w:tcPr>
            <w:tcW w:w="688"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0"/>
                <w:szCs w:val="20"/>
              </w:rPr>
            </w:pPr>
            <w:r>
              <w:rPr>
                <w:rFonts w:hint="eastAsia" w:ascii="黑体" w:hAnsi="宋体" w:eastAsia="黑体" w:cs="黑体"/>
                <w:b/>
                <w:bCs/>
                <w:color w:val="000000" w:themeColor="text1"/>
                <w:kern w:val="0"/>
                <w:szCs w:val="21"/>
              </w:rPr>
              <w:t>监管部门</w:t>
            </w:r>
          </w:p>
        </w:tc>
        <w:tc>
          <w:tcPr>
            <w:tcW w:w="815" w:type="dxa"/>
            <w:vMerge w:val="restart"/>
            <w:tcBorders>
              <w:top w:val="single" w:color="000000" w:sz="4" w:space="0"/>
              <w:left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0"/>
                <w:szCs w:val="20"/>
              </w:rPr>
            </w:pPr>
            <w:r>
              <w:rPr>
                <w:rFonts w:hint="eastAsia" w:ascii="黑体" w:hAnsi="宋体" w:eastAsia="黑体" w:cs="黑体"/>
                <w:b/>
                <w:bCs/>
                <w:color w:val="000000" w:themeColor="text1"/>
                <w:kern w:val="0"/>
                <w:szCs w:val="21"/>
              </w:rPr>
              <w:t>检查层级</w:t>
            </w:r>
          </w:p>
        </w:tc>
        <w:tc>
          <w:tcPr>
            <w:tcW w:w="777"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Cs w:val="21"/>
              </w:rPr>
              <w:t>检查方法</w:t>
            </w:r>
          </w:p>
        </w:tc>
        <w:tc>
          <w:tcPr>
            <w:tcW w:w="1593"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Cs w:val="21"/>
              </w:rPr>
              <w:t>检查结果</w:t>
            </w:r>
          </w:p>
        </w:tc>
        <w:tc>
          <w:tcPr>
            <w:tcW w:w="165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2"/>
              </w:rPr>
            </w:pPr>
            <w:r>
              <w:rPr>
                <w:rFonts w:ascii="宋体" w:hAnsi="宋体" w:eastAsia="宋体" w:cs="宋体"/>
                <w:b/>
                <w:bCs/>
                <w:color w:val="000000" w:themeColor="text1"/>
                <w:kern w:val="0"/>
                <w:sz w:val="20"/>
                <w:szCs w:val="20"/>
              </w:rPr>
              <w:t>检查项分级标注</w:t>
            </w:r>
          </w:p>
        </w:tc>
      </w:tr>
      <w:tr>
        <w:tblPrEx>
          <w:tblCellMar>
            <w:top w:w="0" w:type="dxa"/>
            <w:left w:w="108" w:type="dxa"/>
            <w:bottom w:w="0" w:type="dxa"/>
            <w:right w:w="108" w:type="dxa"/>
          </w:tblCellMar>
        </w:tblPrEx>
        <w:trPr>
          <w:trHeight w:val="479" w:hRule="atLeast"/>
          <w:jc w:val="center"/>
        </w:trPr>
        <w:tc>
          <w:tcPr>
            <w:tcW w:w="452"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1121"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1618"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1580"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3248"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1121"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688"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815" w:type="dxa"/>
            <w:vMerge w:val="continue"/>
            <w:tcBorders>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color w:val="000000" w:themeColor="text1"/>
              </w:rPr>
            </w:pPr>
          </w:p>
        </w:tc>
        <w:tc>
          <w:tcPr>
            <w:tcW w:w="777"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1593"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 w:val="20"/>
                <w:szCs w:val="20"/>
              </w:rPr>
              <w:t>A</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 w:val="20"/>
                <w:szCs w:val="20"/>
              </w:rPr>
              <w:t>B</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 w:val="20"/>
                <w:szCs w:val="20"/>
              </w:rPr>
              <w:t>C</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 w:val="20"/>
                <w:szCs w:val="20"/>
              </w:rPr>
              <w:t>D</w:t>
            </w:r>
          </w:p>
        </w:tc>
      </w:tr>
      <w:tr>
        <w:tblPrEx>
          <w:tblCellMar>
            <w:top w:w="0" w:type="dxa"/>
            <w:left w:w="108" w:type="dxa"/>
            <w:bottom w:w="0" w:type="dxa"/>
            <w:right w:w="108" w:type="dxa"/>
          </w:tblCellMar>
        </w:tblPrEx>
        <w:trPr>
          <w:trHeight w:val="2600" w:hRule="atLeast"/>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szCs w:val="21"/>
              </w:rPr>
            </w:pPr>
            <w:r>
              <w:rPr>
                <w:rFonts w:cs="等线" w:asciiTheme="minorEastAsia" w:hAnsiTheme="minorEastAsia"/>
                <w:color w:val="000000" w:themeColor="text1"/>
                <w:kern w:val="0"/>
                <w:szCs w:val="21"/>
              </w:rPr>
              <w:t>1</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生活垃圾分类知识宣传、指导、监督</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检查开展宣传和指定专人负责指导、监督垃圾分类工作的情况</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是否在责任范围内开展生活垃圾分类知识宣传，指定专人负责指导、监督单位和个人进行生活垃圾分类</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hd w:val="clear" w:color="auto" w:fill="FFFFFF"/>
              <w:ind w:firstLine="420" w:firstLineChars="200"/>
              <w:rPr>
                <w:rFonts w:ascii="宋体" w:hAnsi="宋体" w:eastAsia="宋体" w:cs="宋体"/>
                <w:color w:val="000000" w:themeColor="text1"/>
                <w:kern w:val="0"/>
              </w:rPr>
            </w:pPr>
            <w:r>
              <w:rPr>
                <w:rFonts w:hint="eastAsia" w:ascii="宋体" w:hAnsi="宋体" w:eastAsia="宋体" w:cs="宋体"/>
                <w:color w:val="000000" w:themeColor="text1"/>
                <w:kern w:val="0"/>
              </w:rPr>
              <w:t>生活垃圾分类管理责任人应当遵守下列规定：</w:t>
            </w:r>
          </w:p>
          <w:p>
            <w:pPr>
              <w:widowControl/>
              <w:shd w:val="clear" w:color="auto" w:fill="FFFFFF"/>
              <w:rPr>
                <w:rFonts w:ascii="宋体" w:hAnsi="宋体" w:eastAsia="宋体" w:cs="宋体"/>
                <w:color w:val="000000" w:themeColor="text1"/>
                <w:kern w:val="0"/>
              </w:rPr>
            </w:pPr>
            <w:r>
              <w:rPr>
                <w:rFonts w:hint="eastAsia" w:ascii="宋体" w:hAnsi="宋体" w:eastAsia="宋体" w:cs="宋体"/>
                <w:color w:val="000000" w:themeColor="text1"/>
                <w:kern w:val="0"/>
              </w:rPr>
              <w:t>　　（二）在责任范围内开展生活垃圾分类知识宣传，指定专人负责指导、监督单位和个人进行生活垃圾分类。</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《北京市生活垃圾管理条例》第三十六条第二项</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城管执法部门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□未发现问题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r>
    </w:tbl>
    <w:p>
      <w:pPr>
        <w:rPr>
          <w:color w:val="000000" w:themeColor="text1"/>
        </w:rPr>
      </w:pPr>
      <w:r>
        <w:rPr>
          <w:color w:val="000000" w:themeColor="text1"/>
        </w:rPr>
        <w:br w:type="page"/>
      </w:r>
    </w:p>
    <w:tbl>
      <w:tblPr>
        <w:tblStyle w:val="26"/>
        <w:tblW w:w="13608" w:type="dxa"/>
        <w:jc w:val="center"/>
        <w:tblLayout w:type="fixed"/>
        <w:tblCellMar>
          <w:top w:w="0" w:type="dxa"/>
          <w:left w:w="108" w:type="dxa"/>
          <w:bottom w:w="0" w:type="dxa"/>
          <w:right w:w="108" w:type="dxa"/>
        </w:tblCellMar>
      </w:tblPr>
      <w:tblGrid>
        <w:gridCol w:w="432"/>
        <w:gridCol w:w="1038"/>
        <w:gridCol w:w="1489"/>
        <w:gridCol w:w="1455"/>
        <w:gridCol w:w="2967"/>
        <w:gridCol w:w="1038"/>
        <w:gridCol w:w="646"/>
        <w:gridCol w:w="761"/>
        <w:gridCol w:w="726"/>
        <w:gridCol w:w="1466"/>
        <w:gridCol w:w="461"/>
        <w:gridCol w:w="357"/>
        <w:gridCol w:w="415"/>
        <w:gridCol w:w="357"/>
      </w:tblGrid>
      <w:tr>
        <w:tblPrEx>
          <w:tblCellMar>
            <w:top w:w="0" w:type="dxa"/>
            <w:left w:w="108" w:type="dxa"/>
            <w:bottom w:w="0" w:type="dxa"/>
            <w:right w:w="108" w:type="dxa"/>
          </w:tblCellMar>
        </w:tblPrEx>
        <w:trPr>
          <w:trHeight w:val="892" w:hRule="atLeast"/>
          <w:jc w:val="center"/>
        </w:trPr>
        <w:tc>
          <w:tcPr>
            <w:tcW w:w="14669"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pPr>
              <w:pStyle w:val="5"/>
              <w:jc w:val="center"/>
              <w:rPr>
                <w:rFonts w:ascii="等线" w:hAnsi="等线" w:cs="等线"/>
                <w:color w:val="000000" w:themeColor="text1"/>
                <w:sz w:val="22"/>
                <w:szCs w:val="22"/>
              </w:rPr>
            </w:pPr>
            <w:bookmarkStart w:id="190" w:name="_Toc150435312"/>
            <w:r>
              <w:rPr>
                <w:rFonts w:hint="eastAsia"/>
                <w:color w:val="000000" w:themeColor="text1"/>
              </w:rPr>
              <w:t>电梯安全使用方面</w:t>
            </w:r>
            <w:bookmarkEnd w:id="190"/>
          </w:p>
        </w:tc>
      </w:tr>
      <w:tr>
        <w:tblPrEx>
          <w:tblCellMar>
            <w:top w:w="0" w:type="dxa"/>
            <w:left w:w="108" w:type="dxa"/>
            <w:bottom w:w="0" w:type="dxa"/>
            <w:right w:w="108" w:type="dxa"/>
          </w:tblCellMar>
        </w:tblPrEx>
        <w:trPr>
          <w:trHeight w:val="732" w:hRule="atLeast"/>
          <w:jc w:val="center"/>
        </w:trPr>
        <w:tc>
          <w:tcPr>
            <w:tcW w:w="452"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Cs w:val="21"/>
              </w:rPr>
              <w:t>序号</w:t>
            </w:r>
          </w:p>
        </w:tc>
        <w:tc>
          <w:tcPr>
            <w:tcW w:w="1121"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宋体"/>
                <w:color w:val="000000" w:themeColor="text1"/>
                <w:kern w:val="0"/>
                <w:sz w:val="20"/>
                <w:szCs w:val="20"/>
              </w:rPr>
            </w:pPr>
            <w:r>
              <w:rPr>
                <w:rFonts w:hint="eastAsia" w:ascii="黑体" w:hAnsi="宋体" w:eastAsia="黑体" w:cs="黑体"/>
                <w:b/>
                <w:bCs/>
                <w:color w:val="000000" w:themeColor="text1"/>
                <w:kern w:val="0"/>
                <w:szCs w:val="21"/>
              </w:rPr>
              <w:t>检查事项</w:t>
            </w:r>
          </w:p>
        </w:tc>
        <w:tc>
          <w:tcPr>
            <w:tcW w:w="1618"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宋体"/>
                <w:color w:val="000000" w:themeColor="text1"/>
                <w:kern w:val="0"/>
                <w:sz w:val="20"/>
                <w:szCs w:val="20"/>
              </w:rPr>
            </w:pPr>
            <w:r>
              <w:rPr>
                <w:rFonts w:hint="eastAsia" w:ascii="黑体" w:hAnsi="宋体" w:eastAsia="黑体" w:cs="黑体"/>
                <w:b/>
                <w:bCs/>
                <w:color w:val="000000" w:themeColor="text1"/>
                <w:kern w:val="0"/>
                <w:szCs w:val="21"/>
              </w:rPr>
              <w:t>检查子事项</w:t>
            </w:r>
          </w:p>
        </w:tc>
        <w:tc>
          <w:tcPr>
            <w:tcW w:w="1580"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宋体"/>
                <w:color w:val="000000" w:themeColor="text1"/>
                <w:kern w:val="0"/>
                <w:sz w:val="20"/>
                <w:szCs w:val="20"/>
              </w:rPr>
            </w:pPr>
            <w:r>
              <w:rPr>
                <w:rFonts w:hint="eastAsia" w:ascii="黑体" w:hAnsi="宋体" w:eastAsia="黑体" w:cs="黑体"/>
                <w:b/>
                <w:bCs/>
                <w:color w:val="000000" w:themeColor="text1"/>
                <w:kern w:val="0"/>
                <w:szCs w:val="21"/>
              </w:rPr>
              <w:t>检查内容</w:t>
            </w:r>
          </w:p>
        </w:tc>
        <w:tc>
          <w:tcPr>
            <w:tcW w:w="3248"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宋体"/>
                <w:color w:val="000000" w:themeColor="text1"/>
                <w:kern w:val="0"/>
                <w:sz w:val="20"/>
                <w:szCs w:val="20"/>
              </w:rPr>
            </w:pPr>
            <w:r>
              <w:rPr>
                <w:rFonts w:hint="eastAsia" w:ascii="黑体" w:hAnsi="宋体" w:eastAsia="黑体" w:cs="黑体"/>
                <w:b/>
                <w:bCs/>
                <w:color w:val="000000" w:themeColor="text1"/>
                <w:kern w:val="0"/>
                <w:szCs w:val="21"/>
              </w:rPr>
              <w:t>合格标准</w:t>
            </w:r>
          </w:p>
        </w:tc>
        <w:tc>
          <w:tcPr>
            <w:tcW w:w="1121"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宋体"/>
                <w:color w:val="000000" w:themeColor="text1"/>
                <w:kern w:val="0"/>
                <w:sz w:val="20"/>
                <w:szCs w:val="20"/>
              </w:rPr>
            </w:pPr>
            <w:r>
              <w:rPr>
                <w:rFonts w:hint="eastAsia" w:ascii="黑体" w:hAnsi="宋体" w:eastAsia="黑体" w:cs="黑体"/>
                <w:b/>
                <w:bCs/>
                <w:color w:val="000000" w:themeColor="text1"/>
                <w:kern w:val="0"/>
                <w:szCs w:val="21"/>
              </w:rPr>
              <w:t>标准对应的依据</w:t>
            </w:r>
          </w:p>
        </w:tc>
        <w:tc>
          <w:tcPr>
            <w:tcW w:w="688"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0"/>
                <w:szCs w:val="20"/>
              </w:rPr>
            </w:pPr>
            <w:r>
              <w:rPr>
                <w:rFonts w:hint="eastAsia" w:ascii="黑体" w:hAnsi="宋体" w:eastAsia="黑体" w:cs="黑体"/>
                <w:b/>
                <w:bCs/>
                <w:color w:val="000000" w:themeColor="text1"/>
                <w:kern w:val="0"/>
                <w:szCs w:val="21"/>
              </w:rPr>
              <w:t>监管部门</w:t>
            </w:r>
          </w:p>
        </w:tc>
        <w:tc>
          <w:tcPr>
            <w:tcW w:w="815" w:type="dxa"/>
            <w:vMerge w:val="restart"/>
            <w:tcBorders>
              <w:top w:val="single" w:color="000000" w:sz="4" w:space="0"/>
              <w:left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0"/>
                <w:szCs w:val="20"/>
              </w:rPr>
            </w:pPr>
            <w:r>
              <w:rPr>
                <w:rFonts w:hint="eastAsia" w:ascii="黑体" w:hAnsi="宋体" w:eastAsia="黑体" w:cs="黑体"/>
                <w:b/>
                <w:bCs/>
                <w:color w:val="000000" w:themeColor="text1"/>
                <w:kern w:val="0"/>
                <w:szCs w:val="21"/>
              </w:rPr>
              <w:t>检查层级</w:t>
            </w:r>
          </w:p>
        </w:tc>
        <w:tc>
          <w:tcPr>
            <w:tcW w:w="777"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Cs w:val="21"/>
              </w:rPr>
              <w:t>检查方法</w:t>
            </w:r>
          </w:p>
        </w:tc>
        <w:tc>
          <w:tcPr>
            <w:tcW w:w="1593"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Cs w:val="21"/>
              </w:rPr>
              <w:t>检查结果</w:t>
            </w:r>
          </w:p>
        </w:tc>
        <w:tc>
          <w:tcPr>
            <w:tcW w:w="165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2"/>
              </w:rPr>
            </w:pPr>
            <w:r>
              <w:rPr>
                <w:rFonts w:ascii="宋体" w:hAnsi="宋体" w:eastAsia="宋体" w:cs="宋体"/>
                <w:b/>
                <w:bCs/>
                <w:color w:val="000000" w:themeColor="text1"/>
                <w:kern w:val="0"/>
                <w:sz w:val="20"/>
                <w:szCs w:val="20"/>
              </w:rPr>
              <w:t>检查项分级标注</w:t>
            </w:r>
          </w:p>
        </w:tc>
      </w:tr>
      <w:tr>
        <w:tblPrEx>
          <w:tblCellMar>
            <w:top w:w="0" w:type="dxa"/>
            <w:left w:w="108" w:type="dxa"/>
            <w:bottom w:w="0" w:type="dxa"/>
            <w:right w:w="108" w:type="dxa"/>
          </w:tblCellMar>
        </w:tblPrEx>
        <w:trPr>
          <w:trHeight w:val="518" w:hRule="atLeast"/>
          <w:jc w:val="center"/>
        </w:trPr>
        <w:tc>
          <w:tcPr>
            <w:tcW w:w="452"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1121"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1618"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1580"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3248"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1121"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688"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815" w:type="dxa"/>
            <w:vMerge w:val="continue"/>
            <w:tcBorders>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color w:val="000000" w:themeColor="text1"/>
              </w:rPr>
            </w:pPr>
          </w:p>
        </w:tc>
        <w:tc>
          <w:tcPr>
            <w:tcW w:w="777"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1593"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 w:val="20"/>
                <w:szCs w:val="20"/>
              </w:rPr>
              <w:t>A</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 w:val="20"/>
                <w:szCs w:val="20"/>
              </w:rPr>
              <w:t>B</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 w:val="20"/>
                <w:szCs w:val="20"/>
              </w:rPr>
              <w:t>C</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 w:val="20"/>
                <w:szCs w:val="20"/>
              </w:rPr>
              <w:t>D</w:t>
            </w:r>
          </w:p>
        </w:tc>
      </w:tr>
      <w:tr>
        <w:tblPrEx>
          <w:tblCellMar>
            <w:top w:w="0" w:type="dxa"/>
            <w:left w:w="108" w:type="dxa"/>
            <w:bottom w:w="0" w:type="dxa"/>
            <w:right w:w="108" w:type="dxa"/>
          </w:tblCellMar>
        </w:tblPrEx>
        <w:trPr>
          <w:trHeight w:val="4050" w:hRule="atLeast"/>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szCs w:val="21"/>
              </w:rPr>
            </w:pPr>
            <w:r>
              <w:rPr>
                <w:rFonts w:cs="等线" w:asciiTheme="minorEastAsia" w:hAnsiTheme="minorEastAsia"/>
                <w:color w:val="000000" w:themeColor="text1"/>
                <w:kern w:val="0"/>
                <w:szCs w:val="21"/>
              </w:rPr>
              <w:t>1</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对安全使用说明、安全注意事项和警示标志</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电梯、客运索道、大型游乐设施的运营使用单位应当将电梯、客运索道、大型游乐设施的安全使用说明、安全注意事项和警示标志置于易于为乘客注意的显著位置</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电梯、客运索道、大型游乐设施是否将电梯、客运索道、大型游乐设施的安全使用说明、安全注意事项和警示标志置于易于为乘客注意的显著位置</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电梯、客运索道、大型游乐设施将电梯、客运索道、大型游乐设施的安全使用说明、安全注意事项和警示标志置于易于为乘客注意的显著位置。</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《中华人民共和国特种设备安全法》第四十三条第二款；第八十七条第一款第三项</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市场监管部门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□未发现问题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r>
      <w:tr>
        <w:tblPrEx>
          <w:tblCellMar>
            <w:top w:w="0" w:type="dxa"/>
            <w:left w:w="108" w:type="dxa"/>
            <w:bottom w:w="0" w:type="dxa"/>
            <w:right w:w="108" w:type="dxa"/>
          </w:tblCellMar>
        </w:tblPrEx>
        <w:trPr>
          <w:trHeight w:val="1950" w:hRule="atLeast"/>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r>
              <w:rPr>
                <w:rFonts w:cs="等线" w:asciiTheme="minorEastAsia" w:hAnsiTheme="minorEastAsia"/>
                <w:color w:val="000000" w:themeColor="text1"/>
                <w:kern w:val="0"/>
                <w:szCs w:val="21"/>
              </w:rPr>
              <w:t>2</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电梯紧急报警装置</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保证电梯紧急报警装置能够有效应答紧急呼救</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电梯紧急报警装置是否能够有效应答紧急呼救</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电梯紧急报警装置能够有效应答紧急呼救</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《北京市电梯安全监督管理办法》第十五条第一款第三项</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市场监管部门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□未发现问题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r>
      <w:tr>
        <w:tblPrEx>
          <w:tblCellMar>
            <w:top w:w="0" w:type="dxa"/>
            <w:left w:w="108" w:type="dxa"/>
            <w:bottom w:w="0" w:type="dxa"/>
            <w:right w:w="108" w:type="dxa"/>
          </w:tblCellMar>
        </w:tblPrEx>
        <w:trPr>
          <w:trHeight w:val="2261" w:hRule="atLeast"/>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r>
              <w:rPr>
                <w:rFonts w:cs="等线" w:asciiTheme="minorEastAsia" w:hAnsiTheme="minorEastAsia"/>
                <w:color w:val="000000" w:themeColor="text1"/>
                <w:kern w:val="0"/>
                <w:szCs w:val="21"/>
              </w:rPr>
              <w:t>3</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安全检验合格标志</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检查电梯轿厢内或者出入口的明显位置张贴安全注意事项、警示标志和有效的《安全检验合格》标志</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电梯轿厢内或者出入口的明显位置是否张贴安全注意事项、警示标志和有效的《安全检验合格》标志</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电梯轿厢内或者出入口的明显位置张贴安全注意事项、警示标志和有效的《安全检验合格》标志</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《北京市电梯安全监督管理办法》第十五条第一款第四项</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市场监管部门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□未发现问题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r>
      <w:tr>
        <w:tblPrEx>
          <w:tblCellMar>
            <w:top w:w="0" w:type="dxa"/>
            <w:left w:w="108" w:type="dxa"/>
            <w:bottom w:w="0" w:type="dxa"/>
            <w:right w:w="108" w:type="dxa"/>
          </w:tblCellMar>
        </w:tblPrEx>
        <w:trPr>
          <w:trHeight w:val="1970" w:hRule="atLeast"/>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r>
              <w:rPr>
                <w:rFonts w:cs="等线" w:asciiTheme="minorEastAsia" w:hAnsiTheme="minorEastAsia"/>
                <w:color w:val="000000" w:themeColor="text1"/>
                <w:kern w:val="0"/>
                <w:szCs w:val="21"/>
              </w:rPr>
              <w:t>4</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采取措施对被困人员进行抚慰和组织救援</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对电梯困人演练记录、应急预案等检查</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电梯困人演练记录、电梯困人处理记录</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发生电梯乘客被困故障时，迅速采取措施对被困人员进行抚慰和组织救援。</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《北京市电梯安全监督管理办法》第十五条第一款第六项</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市场监管部门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□未发现问题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r>
      <w:tr>
        <w:tblPrEx>
          <w:tblCellMar>
            <w:top w:w="0" w:type="dxa"/>
            <w:left w:w="108" w:type="dxa"/>
            <w:bottom w:w="0" w:type="dxa"/>
            <w:right w:w="108" w:type="dxa"/>
          </w:tblCellMar>
        </w:tblPrEx>
        <w:trPr>
          <w:trHeight w:val="2251" w:hRule="atLeast"/>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r>
              <w:rPr>
                <w:rFonts w:cs="等线" w:asciiTheme="minorEastAsia" w:hAnsiTheme="minorEastAsia"/>
                <w:color w:val="000000" w:themeColor="text1"/>
                <w:kern w:val="0"/>
                <w:szCs w:val="21"/>
              </w:rPr>
              <w:t>5</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电梯作业人员安全教育和培训</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对电梯安装、改造、维修和日常维护保养单位是否对电梯作业人员进行安全教育和技术培训及培训记录进行检查</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电梯安装、改造、维修和日常维护保养单位对电梯作业人员进行安全教育和技术培训的记录情况</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电梯安装、改造、维修和日常维护保养作业人员的安全教育和技术培训记录齐全。</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《北京市电梯安全监督管理办法》第十三条第一款</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市场监管部门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□未发现问题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r>
      <w:tr>
        <w:tblPrEx>
          <w:tblCellMar>
            <w:top w:w="0" w:type="dxa"/>
            <w:left w:w="108" w:type="dxa"/>
            <w:bottom w:w="0" w:type="dxa"/>
            <w:right w:w="108" w:type="dxa"/>
          </w:tblCellMar>
        </w:tblPrEx>
        <w:trPr>
          <w:trHeight w:val="248" w:hRule="atLeast"/>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r>
              <w:rPr>
                <w:rFonts w:cs="等线" w:asciiTheme="minorEastAsia" w:hAnsiTheme="minorEastAsia"/>
                <w:color w:val="000000" w:themeColor="text1"/>
                <w:kern w:val="0"/>
                <w:szCs w:val="21"/>
              </w:rPr>
              <w:t>6</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《特种设备作业人员证》</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电梯安装、改造、维修和日常维护保养作业人员作业时应当持证</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电梯安装、改造、维修和日常维护保养作业人员作业时是否持证</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电梯安装、改造、维修和日常维护保养作业人员作业时持证。</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《北京市电梯安全监督管理办法》第十四条第二款</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市场监管部门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□未发现问题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r>
      <w:tr>
        <w:tblPrEx>
          <w:tblCellMar>
            <w:top w:w="0" w:type="dxa"/>
            <w:left w:w="108" w:type="dxa"/>
            <w:bottom w:w="0" w:type="dxa"/>
            <w:right w:w="108" w:type="dxa"/>
          </w:tblCellMar>
        </w:tblPrEx>
        <w:trPr>
          <w:trHeight w:val="3306" w:hRule="atLeast"/>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r>
              <w:rPr>
                <w:rFonts w:cs="等线" w:asciiTheme="minorEastAsia" w:hAnsiTheme="minorEastAsia"/>
                <w:color w:val="000000" w:themeColor="text1"/>
                <w:kern w:val="0"/>
                <w:szCs w:val="21"/>
              </w:rPr>
              <w:t>7</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维保单位许可</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电梯使用单位委托取得相应许可的单位实施电梯安装、改造、维修或者日常维护保养活动</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电梯使用单位是否委托未取得相应许可的单位实施电梯安装、改造、维修或者日常维护保养活动</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电梯使用单位委托未取得相应许可的单位实施电梯安装、改造、维修或者日常维护保养活动的，由电梯安全监督管理部门责令立即停止违法行为，对相关电梯使用单位处5000元以上5万元以下罚款。</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《北京市电梯安全监督管理办法》第四十二条违反本办法第十七条</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市场监管部门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□未发现问题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r>
      <w:tr>
        <w:tblPrEx>
          <w:tblCellMar>
            <w:top w:w="0" w:type="dxa"/>
            <w:left w:w="108" w:type="dxa"/>
            <w:bottom w:w="0" w:type="dxa"/>
            <w:right w:w="108" w:type="dxa"/>
          </w:tblCellMar>
        </w:tblPrEx>
        <w:trPr>
          <w:trHeight w:val="4140" w:hRule="atLeast"/>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r>
              <w:rPr>
                <w:rFonts w:cs="等线" w:asciiTheme="minorEastAsia" w:hAnsiTheme="minorEastAsia"/>
                <w:color w:val="000000" w:themeColor="text1"/>
                <w:kern w:val="0"/>
                <w:szCs w:val="21"/>
              </w:rPr>
              <w:t>8</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维保单位电梯安全管理地方标准执行情况</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检查电梯安装、改造、维修单位执行本市《电梯安装维修作业安全规范》的的情</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电梯安装、改造、维修单位是否执行本市《电梯安装维修作业安全规范》导致存在安全隐患。</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电梯安装、改造、维修单位未执行本市《电梯安装维修作业安全规范》导致存在安全隐的，由电梯安全监督管理部门责令限期改正；逾期未改正的，处5000元以下罚款。</w:t>
            </w:r>
          </w:p>
          <w:p>
            <w:pPr>
              <w:widowControl/>
              <w:snapToGrid w:val="0"/>
              <w:ind w:firstLine="420" w:firstLineChars="20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电梯安装、改造、维修单位执行本市《电梯安装维修作业安全规范》导致存在安全隐，由电梯安全监督管理部门责令限期改正并完成整改。</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《北京市电梯安全监督管理办法》第三十七条第一款</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市场监管部门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□未发现问题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r>
      <w:tr>
        <w:tblPrEx>
          <w:tblCellMar>
            <w:top w:w="0" w:type="dxa"/>
            <w:left w:w="108" w:type="dxa"/>
            <w:bottom w:w="0" w:type="dxa"/>
            <w:right w:w="108" w:type="dxa"/>
          </w:tblCellMar>
        </w:tblPrEx>
        <w:trPr>
          <w:trHeight w:val="2880" w:hRule="atLeast"/>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r>
              <w:rPr>
                <w:rFonts w:cs="等线" w:asciiTheme="minorEastAsia" w:hAnsiTheme="minorEastAsia"/>
                <w:color w:val="000000" w:themeColor="text1"/>
                <w:kern w:val="0"/>
                <w:szCs w:val="21"/>
              </w:rPr>
              <w:t>9</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维保单位履行法定义务情况</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是否按照电梯使用维护说明书提出的保养项目、方法和周期要求，制定电梯的日常维护保养方案，确保其维护保养电梯的安全技术性能</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按照电梯使用维护说明书提出的保养项目、方法和周期要求，制定电梯的日常维护保养方案，确保其维护保养电梯的安全技术性能</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电梯的日常维护保养方案符合电梯使用维护说明书提出的保养项目、方法和周期要求。</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《北京市电梯安全监督管理办法》第十二条第一款第一项</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市场监管部门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□未发现问题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r>
      <w:tr>
        <w:tblPrEx>
          <w:tblCellMar>
            <w:top w:w="0" w:type="dxa"/>
            <w:left w:w="108" w:type="dxa"/>
            <w:bottom w:w="0" w:type="dxa"/>
            <w:right w:w="108" w:type="dxa"/>
          </w:tblCellMar>
        </w:tblPrEx>
        <w:trPr>
          <w:trHeight w:val="2540" w:hRule="atLeast"/>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r>
              <w:rPr>
                <w:rFonts w:cs="等线" w:asciiTheme="minorEastAsia" w:hAnsiTheme="minorEastAsia"/>
                <w:color w:val="000000" w:themeColor="text1"/>
                <w:kern w:val="0"/>
                <w:szCs w:val="21"/>
              </w:rPr>
              <w:t>10</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维保单位执行安全技术规范情况</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电梯的维护保养单位是否严格执行安全技术规范的要求，保证其维护保养的电梯的安全性能，现场安全防护措施是否齐全</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电梯的维护保养单位在维护保养中执行的安全技术规范要求，现场安全防护措施的落实情况</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电梯的维护保养单位在维护保养中执行安全技术规范要求，现场安全防护措施落实到位，施工安全。</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《中华人民共和国特种设备安全法》第四十五条第二款</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市场监管部门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□未发现问题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r>
      <w:tr>
        <w:tblPrEx>
          <w:tblCellMar>
            <w:top w:w="0" w:type="dxa"/>
            <w:left w:w="108" w:type="dxa"/>
            <w:bottom w:w="0" w:type="dxa"/>
            <w:right w:w="108" w:type="dxa"/>
          </w:tblCellMar>
        </w:tblPrEx>
        <w:trPr>
          <w:trHeight w:val="2829" w:hRule="atLeast"/>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r>
              <w:rPr>
                <w:rFonts w:cs="等线" w:asciiTheme="minorEastAsia" w:hAnsiTheme="minorEastAsia"/>
                <w:color w:val="000000" w:themeColor="text1"/>
                <w:kern w:val="0"/>
                <w:szCs w:val="21"/>
              </w:rPr>
              <w:t>11</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维保单位安全责任以及应急救援</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电梯的维护保养单位接到故障通知后，应当立即赶赴现场，并采取必要的应急救援措施</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电梯的维护保养单位是否对其维护保养的电梯的安全性能负责；接到故障通后，是否立即赶赴现场，并采取必要的应急救援措施</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电梯的维护保养单位对其维护保养的电梯的安全性能负责；接到故障通知后，立即赶赴现场，并采取必要的应急救援措施。</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《中华人民共和国特种设备安全法》第四十五条第三款</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市场监管部门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□未发现问题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r>
      <w:tr>
        <w:tblPrEx>
          <w:tblCellMar>
            <w:top w:w="0" w:type="dxa"/>
            <w:left w:w="108" w:type="dxa"/>
            <w:bottom w:w="0" w:type="dxa"/>
            <w:right w:w="108" w:type="dxa"/>
          </w:tblCellMar>
        </w:tblPrEx>
        <w:trPr>
          <w:trHeight w:val="1740" w:hRule="atLeast"/>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r>
              <w:rPr>
                <w:rFonts w:cs="等线" w:asciiTheme="minorEastAsia" w:hAnsiTheme="minorEastAsia"/>
                <w:color w:val="000000" w:themeColor="text1"/>
                <w:kern w:val="0"/>
                <w:szCs w:val="21"/>
              </w:rPr>
              <w:t>12</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维保单位取得许可情况</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电梯的维护保养单位取得许可情况</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电梯的维护保养是否由电梯制造单位或者依照本法取得许可的安装、改造、修理单位进行</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电梯的维护保养由电梯制造单位或者依照本法取得许可的安装、改造、修理单位进行。</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《中华人民共和国特种设备安全法》第四十五条第一款</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市场监管部门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□未发现问题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r>
      <w:tr>
        <w:tblPrEx>
          <w:tblCellMar>
            <w:top w:w="0" w:type="dxa"/>
            <w:left w:w="108" w:type="dxa"/>
            <w:bottom w:w="0" w:type="dxa"/>
            <w:right w:w="108" w:type="dxa"/>
          </w:tblCellMar>
        </w:tblPrEx>
        <w:trPr>
          <w:trHeight w:val="2400" w:hRule="atLeast"/>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r>
              <w:rPr>
                <w:rFonts w:cs="等线" w:asciiTheme="minorEastAsia" w:hAnsiTheme="minorEastAsia"/>
                <w:color w:val="000000" w:themeColor="text1"/>
                <w:kern w:val="0"/>
                <w:szCs w:val="21"/>
              </w:rPr>
              <w:t>13</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电梯清洁、润滑、调整和检查情况</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电梯进行清洁、润滑、调整和检查周期</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电梯进行清洁、润滑、调整、检查的周期</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至少每15日对电梯进行一次清洁、润滑、调整和检查。</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《特种设备安全监察条例》第三十一条第二款；第八十三条第一款第八项</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市场监管部门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□未发现问题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r>
      <w:tr>
        <w:tblPrEx>
          <w:tblCellMar>
            <w:top w:w="0" w:type="dxa"/>
            <w:left w:w="108" w:type="dxa"/>
            <w:bottom w:w="0" w:type="dxa"/>
            <w:right w:w="108" w:type="dxa"/>
          </w:tblCellMar>
        </w:tblPrEx>
        <w:trPr>
          <w:trHeight w:val="2120" w:hRule="atLeast"/>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r>
              <w:rPr>
                <w:rFonts w:cs="等线" w:asciiTheme="minorEastAsia" w:hAnsiTheme="minorEastAsia"/>
                <w:color w:val="000000" w:themeColor="text1"/>
                <w:kern w:val="0"/>
                <w:szCs w:val="21"/>
              </w:rPr>
              <w:t>14</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检验检测机构按照安全技术规范进行监督检验情况</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电梯、起重机械、客运索道、大型游乐设施的安装、改造、重大维修过程，以及锅炉清洗过程，经国务院特种设备安全监督管理部门核准的检验检测机构按照安全技术规范的要求进行监督检验</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电梯、起重机械、客运索道、大型游乐设施的安装、改造、重大维修过程，以及锅炉清洗过程，是否经国务院特种设备安全监督管理部门核准的检验检测机构按照安全技术规范的要求进行监督检验</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电梯、起重机械、客运索道、大型游乐设施的安装、改造、重大维修过程，以及锅炉清洗过程，未经国务院特种设备安全监督管理部门核准的检验检测机构按照安全技术规范的要求进行监督检验的，由特种设备安全监督管理部门责令改正，已经出厂的，没收违法生产、销售的产品，已经实施安装、改造、重大维修或者清洗的，责令限期进行监督检验，处5万元以上20万元以下罚款；有违法所得的，没收违法所得；情节严重的，撤销制造、安装、改造或者维修单位已经取得的许可，并由工商行政管理部门吊销其营业执照；触犯刑律的，对负有责任的主管人员和其他直接责任人员依照刑法关于生产、销售伪劣产品罪或者其他罪的规定，依法追究刑事责任。</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《特种设备安全监察条例》第七十九条</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市场监管部门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□未发现问题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r>
      <w:tr>
        <w:tblPrEx>
          <w:tblCellMar>
            <w:top w:w="0" w:type="dxa"/>
            <w:left w:w="108" w:type="dxa"/>
            <w:bottom w:w="0" w:type="dxa"/>
            <w:right w:w="108" w:type="dxa"/>
          </w:tblCellMar>
        </w:tblPrEx>
        <w:trPr>
          <w:trHeight w:val="2971" w:hRule="atLeast"/>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r>
              <w:rPr>
                <w:rFonts w:cs="等线" w:asciiTheme="minorEastAsia" w:hAnsiTheme="minorEastAsia"/>
                <w:color w:val="000000" w:themeColor="text1"/>
                <w:kern w:val="0"/>
                <w:szCs w:val="21"/>
              </w:rPr>
              <w:t>1</w:t>
            </w:r>
            <w:r>
              <w:rPr>
                <w:rFonts w:hint="eastAsia" w:cs="等线" w:asciiTheme="minorEastAsia" w:hAnsiTheme="minorEastAsia"/>
                <w:color w:val="000000" w:themeColor="text1"/>
                <w:kern w:val="0"/>
                <w:szCs w:val="21"/>
              </w:rPr>
              <w:t>5</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安全管理机构以及专职的特种设备安全管理人员</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设置特种设备安全管理机构或者配备专职的特种设备安全管理人员</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是否设置特种设备安全管理机构或者配备专职的特种设备安全管理人员</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电梯、客运索道、大型游乐设施的运营使用单位有下列情形之一的，责令限期改正；逾期未改正的，责令停止使用有关特种设备或者停产停业整顿，处二万元以上十万元以下罚款（一）未设置特种设备安全管理机构或者配备专职的特种设备安全管理人员的</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《中华人民共和国特种设备安全法》第八十七条第一款第一项</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市场监管部门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□未发现问题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r>
      <w:tr>
        <w:tblPrEx>
          <w:tblCellMar>
            <w:top w:w="0" w:type="dxa"/>
            <w:left w:w="108" w:type="dxa"/>
            <w:bottom w:w="0" w:type="dxa"/>
            <w:right w:w="108" w:type="dxa"/>
          </w:tblCellMar>
        </w:tblPrEx>
        <w:trPr>
          <w:trHeight w:val="2249" w:hRule="atLeast"/>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r>
              <w:rPr>
                <w:rFonts w:cs="等线" w:asciiTheme="minorEastAsia" w:hAnsiTheme="minorEastAsia"/>
                <w:color w:val="000000" w:themeColor="text1"/>
                <w:kern w:val="0"/>
                <w:szCs w:val="21"/>
              </w:rPr>
              <w:t>16</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未经许可擅自从事电梯维护保养</w:t>
            </w:r>
          </w:p>
        </w:tc>
        <w:tc>
          <w:tcPr>
            <w:tcW w:w="16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从事电梯保养取得相关许可证书</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是否未经许可擅自从事电梯维护保养</w:t>
            </w:r>
          </w:p>
        </w:tc>
        <w:tc>
          <w:tcPr>
            <w:tcW w:w="32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违反本法规定，未经许可，擅自从事电梯维护保养的，责令停止违法行为，处一万元以上十万元以下罚款；有违法所得的，没收违法所得。</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《中华人民共和国特种设备安全法》第八十八条第一款</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市场监管部门</w:t>
            </w:r>
          </w:p>
        </w:tc>
        <w:tc>
          <w:tcPr>
            <w:tcW w:w="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市、区</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现场检查</w:t>
            </w: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□未发现问题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□不涉及</w:t>
            </w:r>
          </w:p>
        </w:tc>
        <w:tc>
          <w:tcPr>
            <w:tcW w:w="4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r>
    </w:tbl>
    <w:p>
      <w:pPr>
        <w:rPr>
          <w:color w:val="000000" w:themeColor="text1"/>
        </w:rPr>
      </w:pPr>
      <w:r>
        <w:rPr>
          <w:color w:val="000000" w:themeColor="text1"/>
        </w:rPr>
        <w:br w:type="page"/>
      </w:r>
    </w:p>
    <w:tbl>
      <w:tblPr>
        <w:tblStyle w:val="26"/>
        <w:tblW w:w="13608" w:type="dxa"/>
        <w:jc w:val="center"/>
        <w:tblLayout w:type="fixed"/>
        <w:tblCellMar>
          <w:top w:w="0" w:type="dxa"/>
          <w:left w:w="108" w:type="dxa"/>
          <w:bottom w:w="0" w:type="dxa"/>
          <w:right w:w="108" w:type="dxa"/>
        </w:tblCellMar>
      </w:tblPr>
      <w:tblGrid>
        <w:gridCol w:w="432"/>
        <w:gridCol w:w="1038"/>
        <w:gridCol w:w="1489"/>
        <w:gridCol w:w="1455"/>
        <w:gridCol w:w="2424"/>
        <w:gridCol w:w="1581"/>
        <w:gridCol w:w="646"/>
        <w:gridCol w:w="761"/>
        <w:gridCol w:w="726"/>
        <w:gridCol w:w="1466"/>
        <w:gridCol w:w="461"/>
        <w:gridCol w:w="357"/>
        <w:gridCol w:w="415"/>
        <w:gridCol w:w="357"/>
      </w:tblGrid>
      <w:tr>
        <w:tblPrEx>
          <w:tblCellMar>
            <w:top w:w="0" w:type="dxa"/>
            <w:left w:w="108" w:type="dxa"/>
            <w:bottom w:w="0" w:type="dxa"/>
            <w:right w:w="108" w:type="dxa"/>
          </w:tblCellMar>
        </w:tblPrEx>
        <w:trPr>
          <w:trHeight w:val="844" w:hRule="atLeast"/>
          <w:jc w:val="center"/>
        </w:trPr>
        <w:tc>
          <w:tcPr>
            <w:tcW w:w="13608"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pPr>
              <w:pStyle w:val="5"/>
              <w:jc w:val="center"/>
              <w:rPr>
                <w:rFonts w:ascii="等线" w:hAnsi="等线" w:cs="等线"/>
                <w:color w:val="000000" w:themeColor="text1"/>
                <w:sz w:val="22"/>
                <w:szCs w:val="22"/>
              </w:rPr>
            </w:pPr>
            <w:bookmarkStart w:id="191" w:name="_Toc150435313"/>
            <w:r>
              <w:rPr>
                <w:rFonts w:hint="eastAsia"/>
                <w:color w:val="000000" w:themeColor="text1"/>
              </w:rPr>
              <w:t>秩序维护方面</w:t>
            </w:r>
            <w:bookmarkEnd w:id="191"/>
          </w:p>
        </w:tc>
      </w:tr>
      <w:tr>
        <w:tblPrEx>
          <w:tblCellMar>
            <w:top w:w="0" w:type="dxa"/>
            <w:left w:w="108" w:type="dxa"/>
            <w:bottom w:w="0" w:type="dxa"/>
            <w:right w:w="108" w:type="dxa"/>
          </w:tblCellMar>
        </w:tblPrEx>
        <w:trPr>
          <w:trHeight w:val="508" w:hRule="atLeast"/>
          <w:jc w:val="center"/>
        </w:trPr>
        <w:tc>
          <w:tcPr>
            <w:tcW w:w="432"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Cs w:val="21"/>
              </w:rPr>
              <w:t>序号</w:t>
            </w:r>
          </w:p>
        </w:tc>
        <w:tc>
          <w:tcPr>
            <w:tcW w:w="1038"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宋体"/>
                <w:color w:val="000000" w:themeColor="text1"/>
                <w:kern w:val="0"/>
                <w:sz w:val="20"/>
                <w:szCs w:val="20"/>
              </w:rPr>
            </w:pPr>
            <w:r>
              <w:rPr>
                <w:rFonts w:hint="eastAsia" w:ascii="黑体" w:hAnsi="宋体" w:eastAsia="黑体" w:cs="黑体"/>
                <w:b/>
                <w:bCs/>
                <w:color w:val="000000" w:themeColor="text1"/>
                <w:kern w:val="0"/>
                <w:szCs w:val="21"/>
              </w:rPr>
              <w:t>检查事项</w:t>
            </w:r>
          </w:p>
        </w:tc>
        <w:tc>
          <w:tcPr>
            <w:tcW w:w="1489"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宋体"/>
                <w:color w:val="000000" w:themeColor="text1"/>
                <w:kern w:val="0"/>
                <w:sz w:val="20"/>
                <w:szCs w:val="20"/>
              </w:rPr>
            </w:pPr>
            <w:r>
              <w:rPr>
                <w:rFonts w:hint="eastAsia" w:ascii="黑体" w:hAnsi="宋体" w:eastAsia="黑体" w:cs="黑体"/>
                <w:b/>
                <w:bCs/>
                <w:color w:val="000000" w:themeColor="text1"/>
                <w:kern w:val="0"/>
                <w:szCs w:val="21"/>
              </w:rPr>
              <w:t>检查子事项</w:t>
            </w:r>
          </w:p>
        </w:tc>
        <w:tc>
          <w:tcPr>
            <w:tcW w:w="1455"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宋体"/>
                <w:color w:val="000000" w:themeColor="text1"/>
                <w:kern w:val="0"/>
                <w:sz w:val="20"/>
                <w:szCs w:val="20"/>
              </w:rPr>
            </w:pPr>
            <w:r>
              <w:rPr>
                <w:rFonts w:hint="eastAsia" w:ascii="黑体" w:hAnsi="宋体" w:eastAsia="黑体" w:cs="黑体"/>
                <w:b/>
                <w:bCs/>
                <w:color w:val="000000" w:themeColor="text1"/>
                <w:kern w:val="0"/>
                <w:szCs w:val="21"/>
              </w:rPr>
              <w:t>检查内容</w:t>
            </w:r>
          </w:p>
        </w:tc>
        <w:tc>
          <w:tcPr>
            <w:tcW w:w="2424"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宋体"/>
                <w:color w:val="000000" w:themeColor="text1"/>
                <w:kern w:val="0"/>
                <w:sz w:val="20"/>
                <w:szCs w:val="20"/>
              </w:rPr>
            </w:pPr>
            <w:r>
              <w:rPr>
                <w:rFonts w:hint="eastAsia" w:ascii="黑体" w:hAnsi="宋体" w:eastAsia="黑体" w:cs="黑体"/>
                <w:b/>
                <w:bCs/>
                <w:color w:val="000000" w:themeColor="text1"/>
                <w:kern w:val="0"/>
                <w:szCs w:val="21"/>
              </w:rPr>
              <w:t>合格标准</w:t>
            </w:r>
          </w:p>
        </w:tc>
        <w:tc>
          <w:tcPr>
            <w:tcW w:w="1581"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宋体"/>
                <w:color w:val="000000" w:themeColor="text1"/>
                <w:kern w:val="0"/>
                <w:sz w:val="20"/>
                <w:szCs w:val="20"/>
              </w:rPr>
            </w:pPr>
            <w:r>
              <w:rPr>
                <w:rFonts w:hint="eastAsia" w:ascii="黑体" w:hAnsi="宋体" w:eastAsia="黑体" w:cs="黑体"/>
                <w:b/>
                <w:bCs/>
                <w:color w:val="000000" w:themeColor="text1"/>
                <w:kern w:val="0"/>
                <w:szCs w:val="21"/>
              </w:rPr>
              <w:t>标准对应的依据</w:t>
            </w:r>
          </w:p>
        </w:tc>
        <w:tc>
          <w:tcPr>
            <w:tcW w:w="646"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0"/>
                <w:szCs w:val="20"/>
              </w:rPr>
            </w:pPr>
            <w:r>
              <w:rPr>
                <w:rFonts w:hint="eastAsia" w:ascii="黑体" w:hAnsi="宋体" w:eastAsia="黑体" w:cs="黑体"/>
                <w:b/>
                <w:bCs/>
                <w:color w:val="000000" w:themeColor="text1"/>
                <w:kern w:val="0"/>
                <w:szCs w:val="21"/>
              </w:rPr>
              <w:t>监管部门</w:t>
            </w:r>
          </w:p>
        </w:tc>
        <w:tc>
          <w:tcPr>
            <w:tcW w:w="761" w:type="dxa"/>
            <w:vMerge w:val="restart"/>
            <w:tcBorders>
              <w:top w:val="single" w:color="000000" w:sz="4" w:space="0"/>
              <w:left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0"/>
                <w:szCs w:val="20"/>
              </w:rPr>
            </w:pPr>
            <w:r>
              <w:rPr>
                <w:rFonts w:hint="eastAsia" w:ascii="黑体" w:hAnsi="宋体" w:eastAsia="黑体" w:cs="黑体"/>
                <w:b/>
                <w:bCs/>
                <w:color w:val="000000" w:themeColor="text1"/>
                <w:kern w:val="0"/>
                <w:szCs w:val="21"/>
              </w:rPr>
              <w:t>检查层级</w:t>
            </w:r>
          </w:p>
        </w:tc>
        <w:tc>
          <w:tcPr>
            <w:tcW w:w="726"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Cs w:val="21"/>
              </w:rPr>
              <w:t>检查方法</w:t>
            </w:r>
          </w:p>
        </w:tc>
        <w:tc>
          <w:tcPr>
            <w:tcW w:w="1466" w:type="dxa"/>
            <w:vMerge w:val="restart"/>
            <w:tcBorders>
              <w:top w:val="single" w:color="000000" w:sz="4" w:space="0"/>
              <w:left w:val="single" w:color="000000" w:sz="4" w:space="0"/>
              <w:right w:val="single" w:color="000000" w:sz="4" w:space="0"/>
            </w:tcBorders>
            <w:shd w:val="clear" w:color="auto" w:fill="auto"/>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Cs w:val="21"/>
              </w:rPr>
              <w:t>检查结果</w:t>
            </w:r>
          </w:p>
        </w:tc>
        <w:tc>
          <w:tcPr>
            <w:tcW w:w="159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2"/>
              </w:rPr>
            </w:pPr>
            <w:r>
              <w:rPr>
                <w:rFonts w:ascii="宋体" w:hAnsi="宋体" w:eastAsia="宋体" w:cs="宋体"/>
                <w:b/>
                <w:bCs/>
                <w:color w:val="000000" w:themeColor="text1"/>
                <w:kern w:val="0"/>
                <w:sz w:val="20"/>
                <w:szCs w:val="20"/>
              </w:rPr>
              <w:t>检查项分级标注</w:t>
            </w:r>
          </w:p>
        </w:tc>
      </w:tr>
      <w:tr>
        <w:tblPrEx>
          <w:tblCellMar>
            <w:top w:w="0" w:type="dxa"/>
            <w:left w:w="108" w:type="dxa"/>
            <w:bottom w:w="0" w:type="dxa"/>
            <w:right w:w="108" w:type="dxa"/>
          </w:tblCellMar>
        </w:tblPrEx>
        <w:trPr>
          <w:trHeight w:val="562" w:hRule="atLeast"/>
          <w:jc w:val="center"/>
        </w:trPr>
        <w:tc>
          <w:tcPr>
            <w:tcW w:w="432"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1038"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1489"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1455"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2424"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1581"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646"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761" w:type="dxa"/>
            <w:vMerge w:val="continue"/>
            <w:tcBorders>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color w:val="000000" w:themeColor="text1"/>
              </w:rPr>
            </w:pPr>
          </w:p>
        </w:tc>
        <w:tc>
          <w:tcPr>
            <w:tcW w:w="726"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1466" w:type="dxa"/>
            <w:vMerge w:val="continue"/>
            <w:tcBorders>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color w:val="000000" w:themeColor="text1"/>
              </w:rPr>
            </w:pPr>
          </w:p>
        </w:tc>
        <w:tc>
          <w:tcPr>
            <w:tcW w:w="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 w:val="20"/>
                <w:szCs w:val="20"/>
              </w:rPr>
              <w:t>A</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 w:val="20"/>
                <w:szCs w:val="20"/>
              </w:rPr>
              <w:t>B</w:t>
            </w:r>
          </w:p>
        </w:tc>
        <w:tc>
          <w:tcPr>
            <w:tcW w:w="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 w:val="20"/>
                <w:szCs w:val="20"/>
              </w:rPr>
              <w:t>C</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ascii="等线" w:hAnsi="等线" w:eastAsia="等线" w:cs="等线"/>
                <w:color w:val="000000" w:themeColor="text1"/>
                <w:kern w:val="0"/>
                <w:sz w:val="22"/>
              </w:rPr>
            </w:pPr>
            <w:r>
              <w:rPr>
                <w:rFonts w:hint="eastAsia" w:ascii="黑体" w:hAnsi="宋体" w:eastAsia="黑体" w:cs="黑体"/>
                <w:b/>
                <w:bCs/>
                <w:color w:val="000000" w:themeColor="text1"/>
                <w:kern w:val="0"/>
                <w:sz w:val="20"/>
                <w:szCs w:val="20"/>
              </w:rPr>
              <w:t>D</w:t>
            </w:r>
          </w:p>
        </w:tc>
      </w:tr>
      <w:tr>
        <w:tblPrEx>
          <w:tblCellMar>
            <w:top w:w="0" w:type="dxa"/>
            <w:left w:w="108" w:type="dxa"/>
            <w:bottom w:w="0" w:type="dxa"/>
            <w:right w:w="108" w:type="dxa"/>
          </w:tblCellMar>
        </w:tblPrEx>
        <w:trPr>
          <w:trHeight w:val="918" w:hRule="atLeast"/>
          <w:jc w:val="center"/>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r>
              <w:rPr>
                <w:rFonts w:cs="等线" w:asciiTheme="minorEastAsia" w:hAnsiTheme="minorEastAsia"/>
                <w:color w:val="000000" w:themeColor="text1"/>
                <w:kern w:val="0"/>
                <w:szCs w:val="21"/>
              </w:rPr>
              <w:t>1</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制造、储存、使用、处置爆炸性、毒害性、放射性、腐蚀性物质或者传染病病原体等危险物质</w:t>
            </w:r>
          </w:p>
        </w:tc>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业主、物业使用人、物业服务人等不得违反国家规定，制造、储存、使用、处置爆炸性、毒害性、放射性、腐蚀性物质或者传染病病原体等危险物质</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是否存在制造、储存、使用、处置爆炸性、毒害性、放射性、腐蚀性物质或者传染病病原体等危险物质。</w:t>
            </w:r>
          </w:p>
        </w:tc>
        <w:tc>
          <w:tcPr>
            <w:tcW w:w="24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物业公司不存在制造、储存、使用、处置爆炸性、毒害性、放射性、腐蚀性物质或者传染病病原体等危险物质。</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《北京市物业管理条例》　第九十八条、《危险化学品安全管理条例》第八十一条、《北京市烟花爆竹安全管理规定》第二十一条</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公安部门</w:t>
            </w:r>
          </w:p>
        </w:tc>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市、区</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现场检查</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□未发现问题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□不涉及</w:t>
            </w:r>
          </w:p>
        </w:tc>
        <w:tc>
          <w:tcPr>
            <w:tcW w:w="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r>
      <w:tr>
        <w:tblPrEx>
          <w:tblCellMar>
            <w:top w:w="0" w:type="dxa"/>
            <w:left w:w="108" w:type="dxa"/>
            <w:bottom w:w="0" w:type="dxa"/>
            <w:right w:w="108" w:type="dxa"/>
          </w:tblCellMar>
        </w:tblPrEx>
        <w:trPr>
          <w:trHeight w:val="1740" w:hRule="atLeast"/>
          <w:jc w:val="center"/>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r>
              <w:rPr>
                <w:rFonts w:cs="等线" w:asciiTheme="minorEastAsia" w:hAnsiTheme="minorEastAsia"/>
                <w:color w:val="000000" w:themeColor="text1"/>
                <w:kern w:val="0"/>
                <w:szCs w:val="21"/>
              </w:rPr>
              <w:t>2</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高空抛物</w:t>
            </w:r>
          </w:p>
        </w:tc>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业主、物业使用人、物业服务人等不得从建筑物中抛掷物品</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是否存在从建筑物中抛掷物品的情况</w:t>
            </w:r>
          </w:p>
        </w:tc>
        <w:tc>
          <w:tcPr>
            <w:tcW w:w="24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不存在从建筑物中抛掷物品的情况</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《北京市物业管理条例》　第九十八条（七）</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公安部门</w:t>
            </w:r>
          </w:p>
        </w:tc>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市、区</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现场检查</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□未发现问题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□不涉及</w:t>
            </w:r>
          </w:p>
        </w:tc>
        <w:tc>
          <w:tcPr>
            <w:tcW w:w="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r>
      <w:tr>
        <w:tblPrEx>
          <w:tblCellMar>
            <w:top w:w="0" w:type="dxa"/>
            <w:left w:w="108" w:type="dxa"/>
            <w:bottom w:w="0" w:type="dxa"/>
            <w:right w:w="108" w:type="dxa"/>
          </w:tblCellMar>
        </w:tblPrEx>
        <w:trPr>
          <w:trHeight w:val="1740" w:hRule="atLeast"/>
          <w:jc w:val="center"/>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left"/>
              <w:textAlignment w:val="center"/>
              <w:rPr>
                <w:rFonts w:cs="等线" w:asciiTheme="minorEastAsia" w:hAnsiTheme="minorEastAsia"/>
                <w:color w:val="000000" w:themeColor="text1"/>
                <w:szCs w:val="21"/>
              </w:rPr>
            </w:pPr>
            <w:r>
              <w:rPr>
                <w:rFonts w:cs="等线" w:asciiTheme="minorEastAsia" w:hAnsiTheme="minorEastAsia"/>
                <w:color w:val="000000" w:themeColor="text1"/>
                <w:kern w:val="0"/>
                <w:szCs w:val="21"/>
              </w:rPr>
              <w:t>3</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left"/>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噪音超标</w:t>
            </w:r>
          </w:p>
        </w:tc>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left"/>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业主、物业使用人、物业服务人等不得制造超标噪音</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left"/>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是否存在制造超标噪音的情况</w:t>
            </w:r>
          </w:p>
        </w:tc>
        <w:tc>
          <w:tcPr>
            <w:tcW w:w="24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ind w:firstLine="210" w:firstLineChars="100"/>
              <w:jc w:val="left"/>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不存在产生超标噪音的情况</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left"/>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《北京市物业管理条例》　第九十八条</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公安部门</w:t>
            </w:r>
          </w:p>
        </w:tc>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市、区</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现场检查</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□未发现问题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□不涉及</w:t>
            </w:r>
          </w:p>
        </w:tc>
        <w:tc>
          <w:tcPr>
            <w:tcW w:w="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r>
      <w:tr>
        <w:tblPrEx>
          <w:tblCellMar>
            <w:top w:w="0" w:type="dxa"/>
            <w:left w:w="108" w:type="dxa"/>
            <w:bottom w:w="0" w:type="dxa"/>
            <w:right w:w="108" w:type="dxa"/>
          </w:tblCellMar>
        </w:tblPrEx>
        <w:trPr>
          <w:trHeight w:val="694" w:hRule="atLeast"/>
          <w:jc w:val="center"/>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left"/>
              <w:textAlignment w:val="center"/>
              <w:rPr>
                <w:rFonts w:cs="等线" w:asciiTheme="minorEastAsia" w:hAnsiTheme="minorEastAsia"/>
                <w:color w:val="000000" w:themeColor="text1"/>
                <w:szCs w:val="21"/>
              </w:rPr>
            </w:pPr>
            <w:r>
              <w:rPr>
                <w:rFonts w:cs="等线" w:asciiTheme="minorEastAsia" w:hAnsiTheme="minorEastAsia"/>
                <w:color w:val="000000" w:themeColor="text1"/>
                <w:kern w:val="0"/>
                <w:szCs w:val="21"/>
              </w:rPr>
              <w:t>4</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left"/>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违规饲养动物</w:t>
            </w:r>
          </w:p>
        </w:tc>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left"/>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业主、物业使用人、物业服务人等不得违反规定饲养动物</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left"/>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是否违反规定饲养动物</w:t>
            </w:r>
          </w:p>
        </w:tc>
        <w:tc>
          <w:tcPr>
            <w:tcW w:w="24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left"/>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不存在违反规定饲养动物的情况</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left"/>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《北京市物业管理条例》　第九十八条、《中华人民共和国治安管理处罚法》第七十五条、《北京市养犬管理规定》第二十六条、第二十七条、第二十八条、第二十九条</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公安部门</w:t>
            </w:r>
          </w:p>
        </w:tc>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市、区</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现场检查</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□未发现问题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□不涉及</w:t>
            </w:r>
          </w:p>
        </w:tc>
        <w:tc>
          <w:tcPr>
            <w:tcW w:w="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r>
      <w:tr>
        <w:tblPrEx>
          <w:tblCellMar>
            <w:top w:w="0" w:type="dxa"/>
            <w:left w:w="108" w:type="dxa"/>
            <w:bottom w:w="0" w:type="dxa"/>
            <w:right w:w="108" w:type="dxa"/>
          </w:tblCellMar>
        </w:tblPrEx>
        <w:trPr>
          <w:trHeight w:val="3251" w:hRule="atLeast"/>
          <w:jc w:val="center"/>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left"/>
              <w:textAlignment w:val="center"/>
              <w:rPr>
                <w:rFonts w:cs="等线" w:asciiTheme="minorEastAsia" w:hAnsiTheme="minorEastAsia"/>
                <w:color w:val="000000" w:themeColor="text1"/>
                <w:szCs w:val="21"/>
              </w:rPr>
            </w:pPr>
            <w:r>
              <w:rPr>
                <w:rFonts w:cs="等线" w:asciiTheme="minorEastAsia" w:hAnsiTheme="minorEastAsia"/>
                <w:color w:val="000000" w:themeColor="text1"/>
                <w:kern w:val="0"/>
                <w:szCs w:val="21"/>
              </w:rPr>
              <w:t>5</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left"/>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保安服务管理制度、岗位责任制度和保安员管理制度</w:t>
            </w:r>
          </w:p>
        </w:tc>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left"/>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对自行招用保安员的单位的法人资格，有符合条例规定条件的保安员，有健全的保安服务管理制度、岗位责任制度和保安员管理制度进行检查</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left"/>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自行招用保安员的单位是否具有法人资格，是否符合条例规定条件的保安员，有健全的保安服务管理制度、岗位责任制度和保安员管理制度</w:t>
            </w:r>
          </w:p>
        </w:tc>
        <w:tc>
          <w:tcPr>
            <w:tcW w:w="24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ind w:firstLine="420" w:firstLineChars="200"/>
              <w:jc w:val="left"/>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自行招用保安员的单位具有法人资格，有符合本条例规定条件的保安员，有健全的保安服务管理制度、岗位责任制度和保安员管理制度。</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left"/>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《保安服务管理条例》第十三条第一款</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公安部门</w:t>
            </w:r>
          </w:p>
        </w:tc>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市、区</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现场检查</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16" w:lineRule="auto"/>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□未发现问题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□不涉及</w:t>
            </w:r>
          </w:p>
        </w:tc>
        <w:tc>
          <w:tcPr>
            <w:tcW w:w="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spacing w:line="216" w:lineRule="auto"/>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r>
      <w:tr>
        <w:tblPrEx>
          <w:tblCellMar>
            <w:top w:w="0" w:type="dxa"/>
            <w:left w:w="108" w:type="dxa"/>
            <w:bottom w:w="0" w:type="dxa"/>
            <w:right w:w="108" w:type="dxa"/>
          </w:tblCellMar>
        </w:tblPrEx>
        <w:trPr>
          <w:trHeight w:val="1740" w:hRule="atLeast"/>
          <w:jc w:val="center"/>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r>
              <w:rPr>
                <w:rFonts w:cs="等线" w:asciiTheme="minorEastAsia" w:hAnsiTheme="minorEastAsia"/>
                <w:color w:val="000000" w:themeColor="text1"/>
                <w:kern w:val="0"/>
                <w:szCs w:val="21"/>
              </w:rPr>
              <w:t>6</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自招保安员备案</w:t>
            </w:r>
          </w:p>
        </w:tc>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对自行招用保安员的单位备案情况进行检查；对自行招用保安员的单位不再招用保安员进行保安服务的备案撤销情况进行检查。</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自行招用保安员的单位，是否自开始保安服务之日起30日内向所在地设区的市级人民政府公安机关备案。</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自行招用保安员的单位不再招用保安员进行保安服务的，是否自停止保安服务之日起30日内到备案的公安机关撤销备案</w:t>
            </w:r>
          </w:p>
        </w:tc>
        <w:tc>
          <w:tcPr>
            <w:tcW w:w="24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ind w:firstLine="420" w:firstLineChars="20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自行招用保安员的单位，自开始保安服务之日起30日内向所在地设区的市级人民政府公安机关备案。</w:t>
            </w:r>
          </w:p>
          <w:p>
            <w:pPr>
              <w:widowControl/>
              <w:snapToGrid w:val="0"/>
              <w:ind w:firstLine="420" w:firstLineChars="20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自行招用保安员的单位不再招用保安员进行保安服务的，自停止保安服务之日起30日内到备案的公安机关撤销备案。</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《保安服务管理条例》第十四条条第一款</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公安部门</w:t>
            </w:r>
          </w:p>
        </w:tc>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市、区</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现场检查</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□未发现问题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□不涉及</w:t>
            </w:r>
          </w:p>
        </w:tc>
        <w:tc>
          <w:tcPr>
            <w:tcW w:w="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r>
      <w:tr>
        <w:tblPrEx>
          <w:tblCellMar>
            <w:top w:w="0" w:type="dxa"/>
            <w:left w:w="108" w:type="dxa"/>
            <w:bottom w:w="0" w:type="dxa"/>
            <w:right w:w="108" w:type="dxa"/>
          </w:tblCellMar>
        </w:tblPrEx>
        <w:trPr>
          <w:trHeight w:val="2120" w:hRule="atLeast"/>
          <w:jc w:val="center"/>
        </w:trPr>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r>
              <w:rPr>
                <w:rFonts w:cs="等线" w:asciiTheme="minorEastAsia" w:hAnsiTheme="minorEastAsia"/>
                <w:color w:val="000000" w:themeColor="text1"/>
                <w:kern w:val="0"/>
                <w:szCs w:val="21"/>
              </w:rPr>
              <w:t>7</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自招保安员超区域范围服务</w:t>
            </w:r>
          </w:p>
        </w:tc>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自行招用保安员的单位不得在本单位以外或者物业管理区域以外提供保安服务</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自行招用保安员的单位是否在本单位以外或者物业管理区域以外提供保安服务</w:t>
            </w:r>
          </w:p>
        </w:tc>
        <w:tc>
          <w:tcPr>
            <w:tcW w:w="24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自行招用保安员的单位未在本单位以外或者物业管理区域以外提供保安服务。</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kern w:val="0"/>
                <w:szCs w:val="21"/>
              </w:rPr>
            </w:pPr>
            <w:r>
              <w:rPr>
                <w:rFonts w:hint="eastAsia" w:cs="等线" w:asciiTheme="minorEastAsia" w:hAnsiTheme="minorEastAsia"/>
                <w:color w:val="000000" w:themeColor="text1"/>
                <w:kern w:val="0"/>
                <w:szCs w:val="21"/>
              </w:rPr>
              <w:t>《保安服务管理条例》第十五条第一款</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公安部门</w:t>
            </w:r>
          </w:p>
        </w:tc>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市、区</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现场检查</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□未发现问题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□发现问题</w:t>
            </w:r>
            <w:r>
              <w:rPr>
                <w:rFonts w:hint="eastAsia" w:cs="等线" w:asciiTheme="minorEastAsia" w:hAnsiTheme="minorEastAsia"/>
                <w:color w:val="000000" w:themeColor="text1"/>
                <w:kern w:val="0"/>
                <w:szCs w:val="21"/>
              </w:rPr>
              <w:br w:type="textWrapping"/>
            </w:r>
            <w:r>
              <w:rPr>
                <w:rFonts w:hint="eastAsia" w:cs="等线" w:asciiTheme="minorEastAsia" w:hAnsiTheme="minorEastAsia"/>
                <w:color w:val="000000" w:themeColor="text1"/>
                <w:kern w:val="0"/>
                <w:szCs w:val="21"/>
              </w:rPr>
              <w:t>□不涉及</w:t>
            </w:r>
          </w:p>
        </w:tc>
        <w:tc>
          <w:tcPr>
            <w:tcW w:w="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c>
          <w:tcPr>
            <w:tcW w:w="3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w:t>
            </w:r>
          </w:p>
        </w:tc>
      </w:tr>
      <w:tr>
        <w:tblPrEx>
          <w:tblCellMar>
            <w:top w:w="0" w:type="dxa"/>
            <w:left w:w="108" w:type="dxa"/>
            <w:bottom w:w="0" w:type="dxa"/>
            <w:right w:w="108" w:type="dxa"/>
          </w:tblCellMar>
        </w:tblPrEx>
        <w:trPr>
          <w:trHeight w:val="845" w:hRule="atLeast"/>
          <w:jc w:val="center"/>
        </w:trPr>
        <w:tc>
          <w:tcPr>
            <w:tcW w:w="147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宋体" w:asciiTheme="minorEastAsia" w:hAnsiTheme="minorEastAsia"/>
                <w:color w:val="000000" w:themeColor="text1"/>
                <w:szCs w:val="21"/>
              </w:rPr>
            </w:pPr>
            <w:r>
              <w:rPr>
                <w:rFonts w:hint="eastAsia" w:cs="宋体" w:asciiTheme="minorEastAsia" w:hAnsiTheme="minorEastAsia"/>
                <w:color w:val="000000" w:themeColor="text1"/>
                <w:kern w:val="0"/>
                <w:szCs w:val="21"/>
              </w:rPr>
              <w:t>检查人</w:t>
            </w:r>
          </w:p>
        </w:tc>
        <w:tc>
          <w:tcPr>
            <w:tcW w:w="29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宋体" w:asciiTheme="minorEastAsia" w:hAnsiTheme="minorEastAsia"/>
                <w:color w:val="000000" w:themeColor="text1"/>
                <w:szCs w:val="21"/>
              </w:rPr>
            </w:pPr>
            <w:r>
              <w:rPr>
                <w:rFonts w:hint="eastAsia" w:cs="宋体" w:asciiTheme="minorEastAsia" w:hAnsiTheme="minorEastAsia"/>
                <w:color w:val="000000" w:themeColor="text1"/>
                <w:kern w:val="0"/>
                <w:szCs w:val="21"/>
              </w:rPr>
              <w:t>执法人员：</w:t>
            </w:r>
          </w:p>
        </w:tc>
        <w:tc>
          <w:tcPr>
            <w:tcW w:w="2424"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cs="宋体" w:asciiTheme="minorEastAsia" w:hAnsiTheme="minorEastAsia"/>
                <w:color w:val="000000" w:themeColor="text1"/>
                <w:szCs w:val="21"/>
              </w:rPr>
            </w:pP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宋体" w:asciiTheme="minorEastAsia" w:hAnsiTheme="minorEastAsia"/>
                <w:color w:val="000000" w:themeColor="text1"/>
                <w:kern w:val="0"/>
                <w:szCs w:val="21"/>
              </w:rPr>
            </w:pPr>
            <w:r>
              <w:rPr>
                <w:rFonts w:hint="eastAsia" w:cs="宋体" w:asciiTheme="minorEastAsia" w:hAnsiTheme="minorEastAsia"/>
                <w:color w:val="000000" w:themeColor="text1"/>
                <w:kern w:val="0"/>
                <w:szCs w:val="21"/>
              </w:rPr>
              <w:t>执法</w:t>
            </w:r>
          </w:p>
          <w:p>
            <w:pPr>
              <w:widowControl/>
              <w:snapToGrid w:val="0"/>
              <w:jc w:val="left"/>
              <w:textAlignment w:val="center"/>
              <w:rPr>
                <w:rFonts w:cs="宋体" w:asciiTheme="minorEastAsia" w:hAnsiTheme="minorEastAsia"/>
                <w:color w:val="000000" w:themeColor="text1"/>
                <w:szCs w:val="21"/>
              </w:rPr>
            </w:pPr>
            <w:r>
              <w:rPr>
                <w:rFonts w:hint="eastAsia" w:cs="宋体" w:asciiTheme="minorEastAsia" w:hAnsiTheme="minorEastAsia"/>
                <w:color w:val="000000" w:themeColor="text1"/>
                <w:kern w:val="0"/>
                <w:szCs w:val="21"/>
              </w:rPr>
              <w:t>证号：</w:t>
            </w:r>
          </w:p>
        </w:tc>
        <w:tc>
          <w:tcPr>
            <w:tcW w:w="14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cs="宋体" w:asciiTheme="minorEastAsia" w:hAnsiTheme="minorEastAsia"/>
                <w:color w:val="000000" w:themeColor="text1"/>
                <w:szCs w:val="21"/>
              </w:rPr>
            </w:pPr>
          </w:p>
        </w:tc>
        <w:tc>
          <w:tcPr>
            <w:tcW w:w="7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宋体" w:asciiTheme="minorEastAsia" w:hAnsiTheme="minorEastAsia"/>
                <w:color w:val="000000" w:themeColor="text1"/>
                <w:szCs w:val="21"/>
              </w:rPr>
            </w:pPr>
            <w:r>
              <w:rPr>
                <w:rFonts w:hint="eastAsia" w:cs="宋体" w:asciiTheme="minorEastAsia" w:hAnsiTheme="minorEastAsia"/>
                <w:color w:val="000000" w:themeColor="text1"/>
                <w:kern w:val="0"/>
                <w:szCs w:val="21"/>
              </w:rPr>
              <w:t>被检查人：</w:t>
            </w:r>
          </w:p>
        </w:tc>
        <w:tc>
          <w:tcPr>
            <w:tcW w:w="3056" w:type="dxa"/>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rPr>
                <w:rFonts w:cs="等线" w:asciiTheme="minorEastAsia" w:hAnsiTheme="minorEastAsia"/>
                <w:color w:val="000000" w:themeColor="text1"/>
                <w:szCs w:val="21"/>
              </w:rPr>
            </w:pPr>
          </w:p>
        </w:tc>
      </w:tr>
      <w:tr>
        <w:tblPrEx>
          <w:tblCellMar>
            <w:top w:w="0" w:type="dxa"/>
            <w:left w:w="108" w:type="dxa"/>
            <w:bottom w:w="0" w:type="dxa"/>
            <w:right w:w="108" w:type="dxa"/>
          </w:tblCellMar>
        </w:tblPrEx>
        <w:trPr>
          <w:trHeight w:val="830" w:hRule="atLeast"/>
          <w:jc w:val="center"/>
        </w:trPr>
        <w:tc>
          <w:tcPr>
            <w:tcW w:w="14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cs="宋体" w:asciiTheme="minorEastAsia" w:hAnsiTheme="minorEastAsia"/>
                <w:color w:val="000000" w:themeColor="text1"/>
                <w:szCs w:val="21"/>
              </w:rPr>
            </w:pPr>
          </w:p>
        </w:tc>
        <w:tc>
          <w:tcPr>
            <w:tcW w:w="29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宋体" w:asciiTheme="minorEastAsia" w:hAnsiTheme="minorEastAsia"/>
                <w:color w:val="000000" w:themeColor="text1"/>
                <w:szCs w:val="21"/>
              </w:rPr>
            </w:pPr>
            <w:r>
              <w:rPr>
                <w:rFonts w:hint="eastAsia" w:cs="宋体" w:asciiTheme="minorEastAsia" w:hAnsiTheme="minorEastAsia"/>
                <w:color w:val="000000" w:themeColor="text1"/>
                <w:kern w:val="0"/>
                <w:szCs w:val="21"/>
              </w:rPr>
              <w:t>执法人员：</w:t>
            </w:r>
          </w:p>
        </w:tc>
        <w:tc>
          <w:tcPr>
            <w:tcW w:w="2424"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cs="宋体" w:asciiTheme="minorEastAsia" w:hAnsiTheme="minorEastAsia"/>
                <w:color w:val="000000" w:themeColor="text1"/>
                <w:szCs w:val="21"/>
              </w:rPr>
            </w:pP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宋体" w:asciiTheme="minorEastAsia" w:hAnsiTheme="minorEastAsia"/>
                <w:color w:val="000000" w:themeColor="text1"/>
                <w:kern w:val="0"/>
                <w:szCs w:val="21"/>
              </w:rPr>
            </w:pPr>
            <w:r>
              <w:rPr>
                <w:rFonts w:hint="eastAsia" w:cs="宋体" w:asciiTheme="minorEastAsia" w:hAnsiTheme="minorEastAsia"/>
                <w:color w:val="000000" w:themeColor="text1"/>
                <w:kern w:val="0"/>
                <w:szCs w:val="21"/>
              </w:rPr>
              <w:t>执法</w:t>
            </w:r>
          </w:p>
          <w:p>
            <w:pPr>
              <w:widowControl/>
              <w:snapToGrid w:val="0"/>
              <w:jc w:val="left"/>
              <w:textAlignment w:val="center"/>
              <w:rPr>
                <w:rFonts w:cs="宋体" w:asciiTheme="minorEastAsia" w:hAnsiTheme="minorEastAsia"/>
                <w:color w:val="000000" w:themeColor="text1"/>
                <w:szCs w:val="21"/>
              </w:rPr>
            </w:pPr>
            <w:r>
              <w:rPr>
                <w:rFonts w:hint="eastAsia" w:cs="宋体" w:asciiTheme="minorEastAsia" w:hAnsiTheme="minorEastAsia"/>
                <w:color w:val="000000" w:themeColor="text1"/>
                <w:kern w:val="0"/>
                <w:szCs w:val="21"/>
              </w:rPr>
              <w:t>证号：</w:t>
            </w:r>
          </w:p>
        </w:tc>
        <w:tc>
          <w:tcPr>
            <w:tcW w:w="14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cs="宋体" w:asciiTheme="minorEastAsia" w:hAnsiTheme="minorEastAsia"/>
                <w:color w:val="000000" w:themeColor="text1"/>
                <w:szCs w:val="21"/>
              </w:rPr>
            </w:pPr>
          </w:p>
        </w:tc>
        <w:tc>
          <w:tcPr>
            <w:tcW w:w="7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cs="宋体" w:asciiTheme="minorEastAsia" w:hAnsiTheme="minorEastAsia"/>
                <w:color w:val="000000" w:themeColor="text1"/>
                <w:szCs w:val="21"/>
              </w:rPr>
            </w:pPr>
          </w:p>
        </w:tc>
        <w:tc>
          <w:tcPr>
            <w:tcW w:w="3056"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rPr>
                <w:rFonts w:cs="等线" w:asciiTheme="minorEastAsia" w:hAnsiTheme="minorEastAsia"/>
                <w:color w:val="000000" w:themeColor="text1"/>
                <w:szCs w:val="21"/>
              </w:rPr>
            </w:pPr>
          </w:p>
        </w:tc>
      </w:tr>
      <w:tr>
        <w:tblPrEx>
          <w:tblCellMar>
            <w:top w:w="0" w:type="dxa"/>
            <w:left w:w="108" w:type="dxa"/>
            <w:bottom w:w="0" w:type="dxa"/>
            <w:right w:w="108" w:type="dxa"/>
          </w:tblCellMar>
        </w:tblPrEx>
        <w:trPr>
          <w:trHeight w:val="3960" w:hRule="atLeast"/>
          <w:jc w:val="center"/>
        </w:trPr>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备注</w:t>
            </w:r>
          </w:p>
        </w:tc>
        <w:tc>
          <w:tcPr>
            <w:tcW w:w="12138"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cs="等线" w:asciiTheme="minorEastAsia" w:hAnsiTheme="minorEastAsia"/>
                <w:color w:val="000000" w:themeColor="text1"/>
                <w:szCs w:val="21"/>
              </w:rPr>
            </w:pPr>
            <w:r>
              <w:rPr>
                <w:rFonts w:hint="eastAsia" w:cs="等线" w:asciiTheme="minorEastAsia" w:hAnsiTheme="minorEastAsia"/>
                <w:color w:val="000000" w:themeColor="text1"/>
                <w:kern w:val="0"/>
                <w:szCs w:val="21"/>
              </w:rPr>
              <w:t>此栏用于记载检查过程中发现的问题或相关问题情况说明。</w:t>
            </w:r>
          </w:p>
        </w:tc>
      </w:tr>
    </w:tbl>
    <w:p>
      <w:pPr>
        <w:snapToGrid w:val="0"/>
        <w:rPr>
          <w:rFonts w:asciiTheme="minorEastAsia" w:hAnsiTheme="minorEastAsia"/>
          <w:color w:val="000000" w:themeColor="text1"/>
          <w:szCs w:val="21"/>
        </w:rPr>
      </w:pPr>
    </w:p>
    <w:p>
      <w:pPr>
        <w:pStyle w:val="2"/>
        <w:numPr>
          <w:ilvl w:val="0"/>
          <w:numId w:val="0"/>
        </w:numPr>
        <w:ind w:firstLine="420"/>
      </w:pPr>
    </w:p>
    <w:p/>
    <w:p/>
    <w:p/>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Courier New">
    <w:panose1 w:val="02070309020205020404"/>
    <w:charset w:val="00"/>
    <w:family w:val="modern"/>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Helvetica Neue">
    <w:altName w:val="仿宋"/>
    <w:panose1 w:val="00000000000000000000"/>
    <w:charset w:val="00"/>
    <w:family w:val="auto"/>
    <w:pitch w:val="default"/>
    <w:sig w:usb0="00000000" w:usb1="00000000" w:usb2="00000000" w:usb3="00000000" w:csb0="00000000" w:csb1="00000000"/>
  </w:font>
  <w:font w:name="方正仿宋_GB2312">
    <w:altName w:val="方正仿宋_GBK"/>
    <w:panose1 w:val="00000000000000000000"/>
    <w:charset w:val="86"/>
    <w:family w:val="auto"/>
    <w:pitch w:val="default"/>
    <w:sig w:usb0="00000000" w:usb1="00000000" w:usb2="00000012" w:usb3="00000000" w:csb0="00040001" w:csb1="00000000"/>
  </w:font>
  <w:font w:name="微软雅黑">
    <w:panose1 w:val="020B0503020204020204"/>
    <w:charset w:val="86"/>
    <w:family w:val="swiss"/>
    <w:pitch w:val="default"/>
    <w:sig w:usb0="80000287" w:usb1="280F3C52" w:usb2="00000016" w:usb3="00000000" w:csb0="0004001F" w:csb1="00000000"/>
  </w:font>
  <w:font w:name="Wingdings 2">
    <w:panose1 w:val="05020102010507070707"/>
    <w:charset w:val="02"/>
    <w:family w:val="roman"/>
    <w:pitch w:val="default"/>
    <w:sig w:usb0="00000000" w:usb1="00000000" w:usb2="00000000" w:usb3="00000000" w:csb0="80000000" w:csb1="00000000"/>
  </w:font>
  <w:font w:name="方正小标宋_GBK">
    <w:panose1 w:val="02000000000000000000"/>
    <w:charset w:val="86"/>
    <w:family w:val="script"/>
    <w:pitch w:val="default"/>
    <w:sig w:usb0="00000001" w:usb1="08000000" w:usb2="00000000" w:usb3="00000000" w:csb0="00040000" w:csb1="00000000"/>
  </w:font>
  <w:font w:name="等线">
    <w:altName w:val="微软雅黑"/>
    <w:panose1 w:val="00000000000000000000"/>
    <w:charset w:val="86"/>
    <w:family w:val="auto"/>
    <w:pitch w:val="default"/>
    <w:sig w:usb0="00000000" w:usb1="00000000" w:usb2="00000016" w:usb3="00000000" w:csb0="0004000F" w:csb1="00000000"/>
  </w:font>
  <w:font w:name="Batang">
    <w:panose1 w:val="02030600000101010101"/>
    <w:charset w:val="81"/>
    <w:family w:val="auto"/>
    <w:pitch w:val="default"/>
    <w:sig w:usb0="B00002AF" w:usb1="69D77CFB" w:usb2="00000030" w:usb3="00000000" w:csb0="4008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right"/>
    </w:pPr>
    <w:r>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WAAAAZHJzL1BLAQIUABQAAAAIAIdO&#10;4kDOqXm5zwAAAAUBAAAPAAAAAAAAAAEAIAAAADgAAABkcnMvZG93bnJldi54bWxQSwECFAAUAAAA&#10;CACHTuJAJExfcagBAABCAwAADgAAAAAAAAABACAAAAA0AQAAZHJzL2Uyb0RvYy54bWxQSwUGAAAA&#10;AAYABgBZAQAATgUAAAAA&#10;">
          <v:path/>
          <v:fill on="f" focussize="0,0"/>
          <v:stroke on="f" joinstyle="miter"/>
          <v:imagedata o:title=""/>
          <o:lock v:ext="edit"/>
          <v:textbox inset="0mm,0mm,0mm,0mm" style="mso-fit-shape-to-text:t;">
            <w:txbxContent>
              <w:sdt>
                <w:sdtPr>
                  <w:id w:val="505209729"/>
                </w:sdtPr>
                <w:sdtContent>
                  <w:p>
                    <w:pPr>
                      <w:pStyle w:val="16"/>
                      <w:jc w:val="both"/>
                    </w:pP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24</w:t>
                    </w:r>
                    <w:r>
                      <w:rPr>
                        <w:rFonts w:asciiTheme="minorEastAsia" w:hAnsiTheme="minorEastAsia"/>
                        <w:sz w:val="28"/>
                        <w:szCs w:val="28"/>
                      </w:rPr>
                      <w:fldChar w:fldCharType="end"/>
                    </w:r>
                  </w:p>
                </w:sdtContent>
              </w:sdt>
            </w:txbxContent>
          </v:textbox>
        </v:shape>
      </w:pict>
    </w:r>
  </w:p>
  <w:p>
    <w:pPr>
      <w:pStyle w:val="1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03468879"/>
    </w:sdtPr>
    <w:sdtContent>
      <w:p>
        <w:pPr>
          <w:pStyle w:val="16"/>
        </w:pP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2 -</w:t>
        </w:r>
        <w:r>
          <w:rPr>
            <w:rFonts w:asciiTheme="minorEastAsia" w:hAnsiTheme="minorEastAsia"/>
            <w:sz w:val="28"/>
            <w:szCs w:val="28"/>
          </w:rPr>
          <w:fldChar w:fldCharType="end"/>
        </w:r>
      </w:p>
    </w:sdtContent>
  </w:sdt>
  <w:p>
    <w:pPr>
      <w:pStyle w:val="1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43654149"/>
    </w:sdtPr>
    <w:sdtContent>
      <w:p>
        <w:pPr>
          <w:pStyle w:val="16"/>
          <w:jc w:val="center"/>
        </w:pPr>
        <w:r>
          <w:fldChar w:fldCharType="begin"/>
        </w:r>
        <w:r>
          <w:instrText xml:space="preserve">PAGE   \* MERGEFORMAT</w:instrText>
        </w:r>
        <w:r>
          <w:fldChar w:fldCharType="separate"/>
        </w:r>
        <w:r>
          <w:rPr>
            <w:lang w:val="zh-CN"/>
          </w:rPr>
          <w:t>4</w:t>
        </w:r>
        <w:r>
          <w:rPr>
            <w:lang w:val="zh-CN"/>
          </w:rPr>
          <w:fldChar w:fldCharType="end"/>
        </w:r>
      </w:p>
    </w:sdtContent>
  </w:sdt>
  <w:p>
    <w:pPr>
      <w:pStyle w:val="16"/>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01773269"/>
    </w:sdtPr>
    <w:sdtContent>
      <w:p>
        <w:pPr>
          <w:pStyle w:val="16"/>
          <w:jc w:val="center"/>
        </w:pPr>
        <w:r>
          <w:fldChar w:fldCharType="begin"/>
        </w:r>
        <w:r>
          <w:instrText xml:space="preserve">PAGE   \* MERGEFORMAT</w:instrText>
        </w:r>
        <w:r>
          <w:fldChar w:fldCharType="separate"/>
        </w:r>
        <w:r>
          <w:rPr>
            <w:lang w:val="zh-CN"/>
          </w:rPr>
          <w:t>320</w:t>
        </w:r>
        <w:r>
          <w:rPr>
            <w:lang w:val="zh-CN"/>
          </w:rPr>
          <w:fldChar w:fldCharType="end"/>
        </w:r>
      </w:p>
    </w:sdtContent>
  </w:sdt>
  <w:p>
    <w:pPr>
      <w:pStyle w:val="16"/>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9E96D9"/>
    <w:multiLevelType w:val="singleLevel"/>
    <w:tmpl w:val="9F9E96D9"/>
    <w:lvl w:ilvl="0" w:tentative="0">
      <w:start w:val="2"/>
      <w:numFmt w:val="chineseCounting"/>
      <w:suff w:val="nothing"/>
      <w:lvlText w:val="（%1）"/>
      <w:lvlJc w:val="left"/>
      <w:rPr>
        <w:rFonts w:hint="eastAsia"/>
      </w:rPr>
    </w:lvl>
  </w:abstractNum>
  <w:abstractNum w:abstractNumId="1">
    <w:nsid w:val="BB3D8E63"/>
    <w:multiLevelType w:val="singleLevel"/>
    <w:tmpl w:val="BB3D8E63"/>
    <w:lvl w:ilvl="0" w:tentative="0">
      <w:start w:val="3"/>
      <w:numFmt w:val="chineseCounting"/>
      <w:suff w:val="nothing"/>
      <w:lvlText w:val="（%1）"/>
      <w:lvlJc w:val="left"/>
      <w:rPr>
        <w:rFonts w:hint="eastAsia"/>
      </w:rPr>
    </w:lvl>
  </w:abstractNum>
  <w:abstractNum w:abstractNumId="2">
    <w:nsid w:val="DEEAC9DB"/>
    <w:multiLevelType w:val="singleLevel"/>
    <w:tmpl w:val="DEEAC9DB"/>
    <w:lvl w:ilvl="0" w:tentative="0">
      <w:start w:val="1"/>
      <w:numFmt w:val="chineseCounting"/>
      <w:suff w:val="nothing"/>
      <w:lvlText w:val="%1、"/>
      <w:lvlJc w:val="left"/>
      <w:rPr>
        <w:rFonts w:hint="eastAsia"/>
      </w:rPr>
    </w:lvl>
  </w:abstractNum>
  <w:abstractNum w:abstractNumId="3">
    <w:nsid w:val="FBCF5E6E"/>
    <w:multiLevelType w:val="singleLevel"/>
    <w:tmpl w:val="FBCF5E6E"/>
    <w:lvl w:ilvl="0" w:tentative="0">
      <w:start w:val="2"/>
      <w:numFmt w:val="chineseCounting"/>
      <w:suff w:val="nothing"/>
      <w:lvlText w:val="（%1）"/>
      <w:lvlJc w:val="left"/>
      <w:rPr>
        <w:rFonts w:hint="eastAsia"/>
      </w:rPr>
    </w:lvl>
  </w:abstractNum>
  <w:abstractNum w:abstractNumId="4">
    <w:nsid w:val="0BF049DA"/>
    <w:multiLevelType w:val="singleLevel"/>
    <w:tmpl w:val="0BF049DA"/>
    <w:lvl w:ilvl="0" w:tentative="0">
      <w:start w:val="4"/>
      <w:numFmt w:val="chineseCounting"/>
      <w:suff w:val="nothing"/>
      <w:lvlText w:val="（%1）"/>
      <w:lvlJc w:val="left"/>
      <w:rPr>
        <w:rFonts w:hint="eastAsia"/>
      </w:rPr>
    </w:lvl>
  </w:abstractNum>
  <w:abstractNum w:abstractNumId="5">
    <w:nsid w:val="27837A4C"/>
    <w:multiLevelType w:val="multilevel"/>
    <w:tmpl w:val="27837A4C"/>
    <w:lvl w:ilvl="0" w:tentative="0">
      <w:start w:val="2"/>
      <w:numFmt w:val="japaneseCounting"/>
      <w:lvlText w:val="（%1）"/>
      <w:lvlJc w:val="left"/>
      <w:pPr>
        <w:ind w:left="1633" w:hanging="990"/>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abstractNum w:abstractNumId="6">
    <w:nsid w:val="5DD34159"/>
    <w:multiLevelType w:val="singleLevel"/>
    <w:tmpl w:val="5DD34159"/>
    <w:lvl w:ilvl="0" w:tentative="0">
      <w:start w:val="1"/>
      <w:numFmt w:val="chineseCounting"/>
      <w:pStyle w:val="2"/>
      <w:suff w:val="nothing"/>
      <w:lvlText w:val="（%1）"/>
      <w:lvlJc w:val="left"/>
      <w:pPr>
        <w:ind w:firstLine="420"/>
      </w:pPr>
      <w:rPr>
        <w:rFonts w:hint="eastAsia"/>
      </w:rPr>
    </w:lvl>
  </w:abstractNum>
  <w:abstractNum w:abstractNumId="7">
    <w:nsid w:val="627F8FEF"/>
    <w:multiLevelType w:val="singleLevel"/>
    <w:tmpl w:val="627F8FEF"/>
    <w:lvl w:ilvl="0" w:tentative="0">
      <w:start w:val="1"/>
      <w:numFmt w:val="decimal"/>
      <w:suff w:val="nothing"/>
      <w:lvlText w:val="（%1）"/>
      <w:lvlJc w:val="left"/>
    </w:lvl>
  </w:abstractNum>
  <w:abstractNum w:abstractNumId="8">
    <w:nsid w:val="6B264CDB"/>
    <w:multiLevelType w:val="singleLevel"/>
    <w:tmpl w:val="6B264CDB"/>
    <w:lvl w:ilvl="0" w:tentative="0">
      <w:start w:val="4"/>
      <w:numFmt w:val="decimal"/>
      <w:suff w:val="nothing"/>
      <w:lvlText w:val="（%1）"/>
      <w:lvlJc w:val="left"/>
    </w:lvl>
  </w:abstractNum>
  <w:abstractNum w:abstractNumId="9">
    <w:nsid w:val="75726D94"/>
    <w:multiLevelType w:val="multilevel"/>
    <w:tmpl w:val="75726D94"/>
    <w:lvl w:ilvl="0" w:tentative="0">
      <w:start w:val="1"/>
      <w:numFmt w:val="japaneseCounting"/>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6"/>
  </w:num>
  <w:num w:numId="2">
    <w:abstractNumId w:val="3"/>
  </w:num>
  <w:num w:numId="3">
    <w:abstractNumId w:val="8"/>
  </w:num>
  <w:num w:numId="4">
    <w:abstractNumId w:val="5"/>
  </w:num>
  <w:num w:numId="5">
    <w:abstractNumId w:val="7"/>
  </w:num>
  <w:num w:numId="6">
    <w:abstractNumId w:val="2"/>
  </w:num>
  <w:num w:numId="7">
    <w:abstractNumId w:val="4"/>
  </w:num>
  <w:num w:numId="8">
    <w:abstractNumId w:val="1"/>
  </w:num>
  <w:num w:numId="9">
    <w:abstractNumId w:val="0"/>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true"/>
  <w:bordersDoNotSurroundFooter w:val="true"/>
  <w:hideSpellingErrors/>
  <w:documentProtection w:enforcement="0"/>
  <w:defaultTabStop w:val="420"/>
  <w:drawingGridHorizontalSpacing w:val="105"/>
  <w:drawingGridVerticalSpacing w:val="249"/>
  <w:noPunctuationKerning w:val="true"/>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D345D0"/>
    <w:rsid w:val="00005BC8"/>
    <w:rsid w:val="00010CBF"/>
    <w:rsid w:val="00015070"/>
    <w:rsid w:val="00015BD3"/>
    <w:rsid w:val="00017C7D"/>
    <w:rsid w:val="0002105D"/>
    <w:rsid w:val="000251E4"/>
    <w:rsid w:val="000305D5"/>
    <w:rsid w:val="00030D2A"/>
    <w:rsid w:val="00033C22"/>
    <w:rsid w:val="00036A60"/>
    <w:rsid w:val="00046760"/>
    <w:rsid w:val="000607E3"/>
    <w:rsid w:val="000608D4"/>
    <w:rsid w:val="0006195A"/>
    <w:rsid w:val="00061A02"/>
    <w:rsid w:val="000647DF"/>
    <w:rsid w:val="000678A1"/>
    <w:rsid w:val="00070AE7"/>
    <w:rsid w:val="00072652"/>
    <w:rsid w:val="00073315"/>
    <w:rsid w:val="00074FFE"/>
    <w:rsid w:val="00090FFA"/>
    <w:rsid w:val="000965F6"/>
    <w:rsid w:val="000B2A28"/>
    <w:rsid w:val="000B6B25"/>
    <w:rsid w:val="000C0350"/>
    <w:rsid w:val="000C0EA5"/>
    <w:rsid w:val="000C2C07"/>
    <w:rsid w:val="000C5B4E"/>
    <w:rsid w:val="000D1BD9"/>
    <w:rsid w:val="000D22EC"/>
    <w:rsid w:val="000D4B7A"/>
    <w:rsid w:val="000E358D"/>
    <w:rsid w:val="000F2640"/>
    <w:rsid w:val="000F5251"/>
    <w:rsid w:val="00106C51"/>
    <w:rsid w:val="00116815"/>
    <w:rsid w:val="001176A8"/>
    <w:rsid w:val="0012124E"/>
    <w:rsid w:val="00134A9E"/>
    <w:rsid w:val="00135741"/>
    <w:rsid w:val="00137F1E"/>
    <w:rsid w:val="00140022"/>
    <w:rsid w:val="001426BC"/>
    <w:rsid w:val="00157C8A"/>
    <w:rsid w:val="00161292"/>
    <w:rsid w:val="00170C9A"/>
    <w:rsid w:val="00172E5A"/>
    <w:rsid w:val="00192384"/>
    <w:rsid w:val="00193C46"/>
    <w:rsid w:val="00194101"/>
    <w:rsid w:val="00194B95"/>
    <w:rsid w:val="00197551"/>
    <w:rsid w:val="001B01CC"/>
    <w:rsid w:val="001B248B"/>
    <w:rsid w:val="001B5ABE"/>
    <w:rsid w:val="001C1FE7"/>
    <w:rsid w:val="001C2DB2"/>
    <w:rsid w:val="001D03F9"/>
    <w:rsid w:val="001D080D"/>
    <w:rsid w:val="001D6DAD"/>
    <w:rsid w:val="001E3343"/>
    <w:rsid w:val="001F0948"/>
    <w:rsid w:val="0020018A"/>
    <w:rsid w:val="00200370"/>
    <w:rsid w:val="00200F50"/>
    <w:rsid w:val="00202EE6"/>
    <w:rsid w:val="00213EB4"/>
    <w:rsid w:val="00216C55"/>
    <w:rsid w:val="0022052B"/>
    <w:rsid w:val="00220DC2"/>
    <w:rsid w:val="0022776E"/>
    <w:rsid w:val="00240AA5"/>
    <w:rsid w:val="00242E91"/>
    <w:rsid w:val="00243F89"/>
    <w:rsid w:val="002460F6"/>
    <w:rsid w:val="0024790A"/>
    <w:rsid w:val="00263275"/>
    <w:rsid w:val="00264834"/>
    <w:rsid w:val="00265817"/>
    <w:rsid w:val="00273620"/>
    <w:rsid w:val="00277F9D"/>
    <w:rsid w:val="00282323"/>
    <w:rsid w:val="00282A1C"/>
    <w:rsid w:val="00282BB8"/>
    <w:rsid w:val="00284C7E"/>
    <w:rsid w:val="00285D04"/>
    <w:rsid w:val="002936F1"/>
    <w:rsid w:val="002953F5"/>
    <w:rsid w:val="002A5A88"/>
    <w:rsid w:val="002A602F"/>
    <w:rsid w:val="002A6AAB"/>
    <w:rsid w:val="002B1063"/>
    <w:rsid w:val="002B3086"/>
    <w:rsid w:val="002C42DF"/>
    <w:rsid w:val="002C633A"/>
    <w:rsid w:val="002C76FD"/>
    <w:rsid w:val="002D2016"/>
    <w:rsid w:val="002D75C9"/>
    <w:rsid w:val="002E159E"/>
    <w:rsid w:val="002E3D16"/>
    <w:rsid w:val="002E586C"/>
    <w:rsid w:val="002E710A"/>
    <w:rsid w:val="002F2366"/>
    <w:rsid w:val="00301B1E"/>
    <w:rsid w:val="003028DE"/>
    <w:rsid w:val="00304048"/>
    <w:rsid w:val="0030421D"/>
    <w:rsid w:val="00304987"/>
    <w:rsid w:val="003064A1"/>
    <w:rsid w:val="00311A03"/>
    <w:rsid w:val="00311BB4"/>
    <w:rsid w:val="00316C32"/>
    <w:rsid w:val="00316E87"/>
    <w:rsid w:val="00324389"/>
    <w:rsid w:val="0034769C"/>
    <w:rsid w:val="00361C71"/>
    <w:rsid w:val="00362D8C"/>
    <w:rsid w:val="003652B9"/>
    <w:rsid w:val="003720A2"/>
    <w:rsid w:val="003728B3"/>
    <w:rsid w:val="00373BD3"/>
    <w:rsid w:val="0037560D"/>
    <w:rsid w:val="0038048E"/>
    <w:rsid w:val="00381F62"/>
    <w:rsid w:val="0039117E"/>
    <w:rsid w:val="003A3541"/>
    <w:rsid w:val="003A5EBF"/>
    <w:rsid w:val="003A64FE"/>
    <w:rsid w:val="003B36F6"/>
    <w:rsid w:val="003B3AA5"/>
    <w:rsid w:val="003B3B09"/>
    <w:rsid w:val="003C0832"/>
    <w:rsid w:val="003C3782"/>
    <w:rsid w:val="003D3ADC"/>
    <w:rsid w:val="003D5281"/>
    <w:rsid w:val="003E5D80"/>
    <w:rsid w:val="003E6147"/>
    <w:rsid w:val="003F46B6"/>
    <w:rsid w:val="003F7E55"/>
    <w:rsid w:val="0040705A"/>
    <w:rsid w:val="0041389F"/>
    <w:rsid w:val="00414B52"/>
    <w:rsid w:val="00417561"/>
    <w:rsid w:val="00417B62"/>
    <w:rsid w:val="00424485"/>
    <w:rsid w:val="00424ED5"/>
    <w:rsid w:val="004309AA"/>
    <w:rsid w:val="00440632"/>
    <w:rsid w:val="004441C6"/>
    <w:rsid w:val="00454EF2"/>
    <w:rsid w:val="004609E1"/>
    <w:rsid w:val="00470F90"/>
    <w:rsid w:val="004743CA"/>
    <w:rsid w:val="00485E29"/>
    <w:rsid w:val="00487D28"/>
    <w:rsid w:val="00497C50"/>
    <w:rsid w:val="004A0628"/>
    <w:rsid w:val="004A342E"/>
    <w:rsid w:val="004B1275"/>
    <w:rsid w:val="004B35D6"/>
    <w:rsid w:val="004B7CD7"/>
    <w:rsid w:val="004C3B9D"/>
    <w:rsid w:val="004C70FA"/>
    <w:rsid w:val="004D4CC8"/>
    <w:rsid w:val="004D6FD6"/>
    <w:rsid w:val="004D7906"/>
    <w:rsid w:val="004E14BD"/>
    <w:rsid w:val="004E44D5"/>
    <w:rsid w:val="005071E0"/>
    <w:rsid w:val="0051120A"/>
    <w:rsid w:val="0053146A"/>
    <w:rsid w:val="005430DE"/>
    <w:rsid w:val="00553935"/>
    <w:rsid w:val="005543DC"/>
    <w:rsid w:val="005658AE"/>
    <w:rsid w:val="0057035D"/>
    <w:rsid w:val="005756AF"/>
    <w:rsid w:val="00591DFC"/>
    <w:rsid w:val="005B0C9A"/>
    <w:rsid w:val="005B1C01"/>
    <w:rsid w:val="005C190E"/>
    <w:rsid w:val="005D371B"/>
    <w:rsid w:val="005D3A08"/>
    <w:rsid w:val="005D4D54"/>
    <w:rsid w:val="005D7BD0"/>
    <w:rsid w:val="005E5C6C"/>
    <w:rsid w:val="005F25D0"/>
    <w:rsid w:val="005F7C73"/>
    <w:rsid w:val="00614A23"/>
    <w:rsid w:val="0061656D"/>
    <w:rsid w:val="00620C32"/>
    <w:rsid w:val="0062141B"/>
    <w:rsid w:val="00624D0F"/>
    <w:rsid w:val="0062514D"/>
    <w:rsid w:val="0063149F"/>
    <w:rsid w:val="00633DEE"/>
    <w:rsid w:val="00637DB9"/>
    <w:rsid w:val="00645BC2"/>
    <w:rsid w:val="006548B2"/>
    <w:rsid w:val="00670F8F"/>
    <w:rsid w:val="006A421E"/>
    <w:rsid w:val="006A6820"/>
    <w:rsid w:val="006A6B9A"/>
    <w:rsid w:val="006A7844"/>
    <w:rsid w:val="006B3AF3"/>
    <w:rsid w:val="006B3F22"/>
    <w:rsid w:val="006B4F0E"/>
    <w:rsid w:val="006D41E4"/>
    <w:rsid w:val="006D4577"/>
    <w:rsid w:val="006D6D42"/>
    <w:rsid w:val="006F047C"/>
    <w:rsid w:val="006F38B6"/>
    <w:rsid w:val="006F5848"/>
    <w:rsid w:val="006F7054"/>
    <w:rsid w:val="007004B6"/>
    <w:rsid w:val="007060E1"/>
    <w:rsid w:val="007065FF"/>
    <w:rsid w:val="00712E2E"/>
    <w:rsid w:val="00715AD5"/>
    <w:rsid w:val="00716CFD"/>
    <w:rsid w:val="00717283"/>
    <w:rsid w:val="00721F81"/>
    <w:rsid w:val="0072591A"/>
    <w:rsid w:val="0072690A"/>
    <w:rsid w:val="00732D78"/>
    <w:rsid w:val="00736658"/>
    <w:rsid w:val="00737AD5"/>
    <w:rsid w:val="00741FAC"/>
    <w:rsid w:val="00743B81"/>
    <w:rsid w:val="0074420E"/>
    <w:rsid w:val="00745098"/>
    <w:rsid w:val="007538C0"/>
    <w:rsid w:val="0075429A"/>
    <w:rsid w:val="00754876"/>
    <w:rsid w:val="00755D3C"/>
    <w:rsid w:val="0075608C"/>
    <w:rsid w:val="007562FC"/>
    <w:rsid w:val="007613DB"/>
    <w:rsid w:val="00767B06"/>
    <w:rsid w:val="0078069E"/>
    <w:rsid w:val="00783750"/>
    <w:rsid w:val="00786093"/>
    <w:rsid w:val="007925A7"/>
    <w:rsid w:val="0079405C"/>
    <w:rsid w:val="0079571E"/>
    <w:rsid w:val="00796124"/>
    <w:rsid w:val="007A203B"/>
    <w:rsid w:val="007A339C"/>
    <w:rsid w:val="007B3393"/>
    <w:rsid w:val="007B7E1C"/>
    <w:rsid w:val="007C093E"/>
    <w:rsid w:val="007C24FE"/>
    <w:rsid w:val="007C4920"/>
    <w:rsid w:val="007C6C64"/>
    <w:rsid w:val="007D7925"/>
    <w:rsid w:val="007E070E"/>
    <w:rsid w:val="007E14BC"/>
    <w:rsid w:val="00802CDC"/>
    <w:rsid w:val="00803D39"/>
    <w:rsid w:val="00812D5B"/>
    <w:rsid w:val="008147F9"/>
    <w:rsid w:val="0081500C"/>
    <w:rsid w:val="008226A8"/>
    <w:rsid w:val="008256A1"/>
    <w:rsid w:val="008319C9"/>
    <w:rsid w:val="00833E7E"/>
    <w:rsid w:val="00836482"/>
    <w:rsid w:val="0084083B"/>
    <w:rsid w:val="00844361"/>
    <w:rsid w:val="00862FCE"/>
    <w:rsid w:val="00872D2D"/>
    <w:rsid w:val="00874637"/>
    <w:rsid w:val="008757BD"/>
    <w:rsid w:val="00883E21"/>
    <w:rsid w:val="00890ABD"/>
    <w:rsid w:val="0089765A"/>
    <w:rsid w:val="008B1B37"/>
    <w:rsid w:val="008B5F20"/>
    <w:rsid w:val="008C2574"/>
    <w:rsid w:val="008C66E5"/>
    <w:rsid w:val="008D534B"/>
    <w:rsid w:val="008E4613"/>
    <w:rsid w:val="008E4DC8"/>
    <w:rsid w:val="008E5182"/>
    <w:rsid w:val="008E6BEE"/>
    <w:rsid w:val="00902B2B"/>
    <w:rsid w:val="00907AB3"/>
    <w:rsid w:val="00907E6C"/>
    <w:rsid w:val="00915F71"/>
    <w:rsid w:val="00920F48"/>
    <w:rsid w:val="0092105B"/>
    <w:rsid w:val="009254C4"/>
    <w:rsid w:val="00942A1C"/>
    <w:rsid w:val="00942D65"/>
    <w:rsid w:val="009434B0"/>
    <w:rsid w:val="00946A47"/>
    <w:rsid w:val="00955BF9"/>
    <w:rsid w:val="0095616C"/>
    <w:rsid w:val="0095706D"/>
    <w:rsid w:val="0098230D"/>
    <w:rsid w:val="00991282"/>
    <w:rsid w:val="009930F9"/>
    <w:rsid w:val="009B211E"/>
    <w:rsid w:val="009C349B"/>
    <w:rsid w:val="009D1C9B"/>
    <w:rsid w:val="009D71CB"/>
    <w:rsid w:val="009D76A2"/>
    <w:rsid w:val="009D79FA"/>
    <w:rsid w:val="009E1514"/>
    <w:rsid w:val="009E298E"/>
    <w:rsid w:val="009E3671"/>
    <w:rsid w:val="009E3A1B"/>
    <w:rsid w:val="009F1780"/>
    <w:rsid w:val="009F18C3"/>
    <w:rsid w:val="00A118F6"/>
    <w:rsid w:val="00A11CDC"/>
    <w:rsid w:val="00A13999"/>
    <w:rsid w:val="00A17737"/>
    <w:rsid w:val="00A17851"/>
    <w:rsid w:val="00A20367"/>
    <w:rsid w:val="00A427BB"/>
    <w:rsid w:val="00A4425C"/>
    <w:rsid w:val="00A44772"/>
    <w:rsid w:val="00A45938"/>
    <w:rsid w:val="00A47A0A"/>
    <w:rsid w:val="00A51E55"/>
    <w:rsid w:val="00A60A60"/>
    <w:rsid w:val="00A628D9"/>
    <w:rsid w:val="00A63C6E"/>
    <w:rsid w:val="00A641D3"/>
    <w:rsid w:val="00A643AE"/>
    <w:rsid w:val="00A7486E"/>
    <w:rsid w:val="00A75DC9"/>
    <w:rsid w:val="00A8422A"/>
    <w:rsid w:val="00A9389C"/>
    <w:rsid w:val="00AB38EE"/>
    <w:rsid w:val="00AC1D2A"/>
    <w:rsid w:val="00AC6936"/>
    <w:rsid w:val="00AD1036"/>
    <w:rsid w:val="00AD4D79"/>
    <w:rsid w:val="00AE2C42"/>
    <w:rsid w:val="00AF0EBB"/>
    <w:rsid w:val="00AF3FDE"/>
    <w:rsid w:val="00AF410C"/>
    <w:rsid w:val="00B04A8F"/>
    <w:rsid w:val="00B058EC"/>
    <w:rsid w:val="00B118F3"/>
    <w:rsid w:val="00B15C2E"/>
    <w:rsid w:val="00B4423A"/>
    <w:rsid w:val="00B47529"/>
    <w:rsid w:val="00B4797D"/>
    <w:rsid w:val="00B710B7"/>
    <w:rsid w:val="00B73B30"/>
    <w:rsid w:val="00B76676"/>
    <w:rsid w:val="00B76B6C"/>
    <w:rsid w:val="00B82B69"/>
    <w:rsid w:val="00B83074"/>
    <w:rsid w:val="00B863DF"/>
    <w:rsid w:val="00B91B56"/>
    <w:rsid w:val="00B9411F"/>
    <w:rsid w:val="00BB02D4"/>
    <w:rsid w:val="00BB1850"/>
    <w:rsid w:val="00BB655D"/>
    <w:rsid w:val="00BC377B"/>
    <w:rsid w:val="00BC6857"/>
    <w:rsid w:val="00BC7784"/>
    <w:rsid w:val="00BD134F"/>
    <w:rsid w:val="00BE1AE1"/>
    <w:rsid w:val="00BF1A7F"/>
    <w:rsid w:val="00BF7E19"/>
    <w:rsid w:val="00C000A3"/>
    <w:rsid w:val="00C0026B"/>
    <w:rsid w:val="00C05D53"/>
    <w:rsid w:val="00C0788E"/>
    <w:rsid w:val="00C178F6"/>
    <w:rsid w:val="00C242B9"/>
    <w:rsid w:val="00C242FE"/>
    <w:rsid w:val="00C24B6A"/>
    <w:rsid w:val="00C26F9F"/>
    <w:rsid w:val="00C40501"/>
    <w:rsid w:val="00C44D47"/>
    <w:rsid w:val="00C52004"/>
    <w:rsid w:val="00C619E4"/>
    <w:rsid w:val="00C63038"/>
    <w:rsid w:val="00C63EDB"/>
    <w:rsid w:val="00C654F2"/>
    <w:rsid w:val="00C67130"/>
    <w:rsid w:val="00C72146"/>
    <w:rsid w:val="00C74070"/>
    <w:rsid w:val="00C74A5C"/>
    <w:rsid w:val="00C75F9F"/>
    <w:rsid w:val="00C76C9F"/>
    <w:rsid w:val="00C81181"/>
    <w:rsid w:val="00C8217D"/>
    <w:rsid w:val="00C83654"/>
    <w:rsid w:val="00C8583B"/>
    <w:rsid w:val="00C91E31"/>
    <w:rsid w:val="00CA2F8A"/>
    <w:rsid w:val="00CA4946"/>
    <w:rsid w:val="00CA59D9"/>
    <w:rsid w:val="00CA70B7"/>
    <w:rsid w:val="00CC1583"/>
    <w:rsid w:val="00CC1918"/>
    <w:rsid w:val="00CC3907"/>
    <w:rsid w:val="00CC396F"/>
    <w:rsid w:val="00CC7C4D"/>
    <w:rsid w:val="00CC7C7E"/>
    <w:rsid w:val="00CD029F"/>
    <w:rsid w:val="00CD28AD"/>
    <w:rsid w:val="00CD410E"/>
    <w:rsid w:val="00CD4D9C"/>
    <w:rsid w:val="00CD5306"/>
    <w:rsid w:val="00CE1890"/>
    <w:rsid w:val="00CE2743"/>
    <w:rsid w:val="00CE47E5"/>
    <w:rsid w:val="00D030BD"/>
    <w:rsid w:val="00D06970"/>
    <w:rsid w:val="00D0748A"/>
    <w:rsid w:val="00D11D11"/>
    <w:rsid w:val="00D15DB4"/>
    <w:rsid w:val="00D160F2"/>
    <w:rsid w:val="00D16BA8"/>
    <w:rsid w:val="00D2555D"/>
    <w:rsid w:val="00D345D0"/>
    <w:rsid w:val="00D465B8"/>
    <w:rsid w:val="00D53AA1"/>
    <w:rsid w:val="00D55A06"/>
    <w:rsid w:val="00D61F1B"/>
    <w:rsid w:val="00D6367B"/>
    <w:rsid w:val="00D6439D"/>
    <w:rsid w:val="00D65B28"/>
    <w:rsid w:val="00D66A60"/>
    <w:rsid w:val="00D71D11"/>
    <w:rsid w:val="00D749D1"/>
    <w:rsid w:val="00D75622"/>
    <w:rsid w:val="00D76AC7"/>
    <w:rsid w:val="00D919DE"/>
    <w:rsid w:val="00DA09A5"/>
    <w:rsid w:val="00DA2FE2"/>
    <w:rsid w:val="00DA4B93"/>
    <w:rsid w:val="00DB1FBD"/>
    <w:rsid w:val="00DB2E85"/>
    <w:rsid w:val="00DB423B"/>
    <w:rsid w:val="00DB72DE"/>
    <w:rsid w:val="00DB7719"/>
    <w:rsid w:val="00DC0D38"/>
    <w:rsid w:val="00DC57E5"/>
    <w:rsid w:val="00DC633A"/>
    <w:rsid w:val="00DD5CDD"/>
    <w:rsid w:val="00DE474E"/>
    <w:rsid w:val="00DE6D51"/>
    <w:rsid w:val="00DF172F"/>
    <w:rsid w:val="00DF73FE"/>
    <w:rsid w:val="00E0624D"/>
    <w:rsid w:val="00E11E36"/>
    <w:rsid w:val="00E1669A"/>
    <w:rsid w:val="00E22FC1"/>
    <w:rsid w:val="00E2713A"/>
    <w:rsid w:val="00E34BBB"/>
    <w:rsid w:val="00E37FE0"/>
    <w:rsid w:val="00E40E09"/>
    <w:rsid w:val="00E55B51"/>
    <w:rsid w:val="00E55D44"/>
    <w:rsid w:val="00E62F46"/>
    <w:rsid w:val="00E6422A"/>
    <w:rsid w:val="00E651C8"/>
    <w:rsid w:val="00E67159"/>
    <w:rsid w:val="00E928D1"/>
    <w:rsid w:val="00E93B14"/>
    <w:rsid w:val="00E9606E"/>
    <w:rsid w:val="00E9649E"/>
    <w:rsid w:val="00E97988"/>
    <w:rsid w:val="00EA12EF"/>
    <w:rsid w:val="00EA4E30"/>
    <w:rsid w:val="00EA69B0"/>
    <w:rsid w:val="00EB2007"/>
    <w:rsid w:val="00EB6390"/>
    <w:rsid w:val="00EC0912"/>
    <w:rsid w:val="00EC1CE6"/>
    <w:rsid w:val="00EC7A93"/>
    <w:rsid w:val="00ED171C"/>
    <w:rsid w:val="00ED2F6A"/>
    <w:rsid w:val="00ED685A"/>
    <w:rsid w:val="00EE0DD4"/>
    <w:rsid w:val="00EE3A9F"/>
    <w:rsid w:val="00F22FDE"/>
    <w:rsid w:val="00F31EF7"/>
    <w:rsid w:val="00F43E09"/>
    <w:rsid w:val="00F44FB9"/>
    <w:rsid w:val="00F52E00"/>
    <w:rsid w:val="00F53FA1"/>
    <w:rsid w:val="00F62F55"/>
    <w:rsid w:val="00F6576E"/>
    <w:rsid w:val="00F83893"/>
    <w:rsid w:val="00F87F19"/>
    <w:rsid w:val="00FA226E"/>
    <w:rsid w:val="00FA6E06"/>
    <w:rsid w:val="00FA7369"/>
    <w:rsid w:val="00FB2D03"/>
    <w:rsid w:val="00FB3B08"/>
    <w:rsid w:val="00FB6E3F"/>
    <w:rsid w:val="00FB7D7A"/>
    <w:rsid w:val="00FC0110"/>
    <w:rsid w:val="00FC013B"/>
    <w:rsid w:val="00FD11B3"/>
    <w:rsid w:val="00FD1972"/>
    <w:rsid w:val="00FD1D6B"/>
    <w:rsid w:val="00FE3073"/>
    <w:rsid w:val="00FF3678"/>
    <w:rsid w:val="00FF5EB8"/>
    <w:rsid w:val="05143B10"/>
    <w:rsid w:val="07E3F805"/>
    <w:rsid w:val="08EDAC91"/>
    <w:rsid w:val="0B778BB0"/>
    <w:rsid w:val="0EF9705B"/>
    <w:rsid w:val="0EFD9692"/>
    <w:rsid w:val="0FEB84FC"/>
    <w:rsid w:val="0FFD7863"/>
    <w:rsid w:val="0FFECE87"/>
    <w:rsid w:val="1371B523"/>
    <w:rsid w:val="16FA0457"/>
    <w:rsid w:val="17DFA1C0"/>
    <w:rsid w:val="1BF71C55"/>
    <w:rsid w:val="1BFDA705"/>
    <w:rsid w:val="1DBF1420"/>
    <w:rsid w:val="1DDFD6F4"/>
    <w:rsid w:val="1DFF24AB"/>
    <w:rsid w:val="1EFF5CFD"/>
    <w:rsid w:val="1FF7D759"/>
    <w:rsid w:val="1FFE9795"/>
    <w:rsid w:val="25DEFCB4"/>
    <w:rsid w:val="26F7B908"/>
    <w:rsid w:val="27F7E7AA"/>
    <w:rsid w:val="27FAAF50"/>
    <w:rsid w:val="2ABEA6A3"/>
    <w:rsid w:val="2B995BE3"/>
    <w:rsid w:val="2BD31769"/>
    <w:rsid w:val="2CDB55B1"/>
    <w:rsid w:val="2FEF6A2A"/>
    <w:rsid w:val="2FFBCA6D"/>
    <w:rsid w:val="30AB8A74"/>
    <w:rsid w:val="32FD56AB"/>
    <w:rsid w:val="33FF1D31"/>
    <w:rsid w:val="3979DFCD"/>
    <w:rsid w:val="39BFE1BB"/>
    <w:rsid w:val="3A7EC508"/>
    <w:rsid w:val="3B275DEA"/>
    <w:rsid w:val="3B7EB40F"/>
    <w:rsid w:val="3BF999DF"/>
    <w:rsid w:val="3BFDD464"/>
    <w:rsid w:val="3D9B96E8"/>
    <w:rsid w:val="3DF6A3A1"/>
    <w:rsid w:val="3EDCAD0F"/>
    <w:rsid w:val="3EFFCF52"/>
    <w:rsid w:val="3F1C5A04"/>
    <w:rsid w:val="3F3F09D8"/>
    <w:rsid w:val="3F3FA214"/>
    <w:rsid w:val="3F9F7F13"/>
    <w:rsid w:val="3FB09B4F"/>
    <w:rsid w:val="3FE61912"/>
    <w:rsid w:val="3FF76A3E"/>
    <w:rsid w:val="3FF99524"/>
    <w:rsid w:val="3FFF2072"/>
    <w:rsid w:val="41C42E4D"/>
    <w:rsid w:val="4BECCE4A"/>
    <w:rsid w:val="4DFFAED5"/>
    <w:rsid w:val="4F3326FD"/>
    <w:rsid w:val="4F5FA854"/>
    <w:rsid w:val="53EF5B50"/>
    <w:rsid w:val="55DC9F0D"/>
    <w:rsid w:val="567E79D1"/>
    <w:rsid w:val="56BDA731"/>
    <w:rsid w:val="57D986FB"/>
    <w:rsid w:val="57F3D91F"/>
    <w:rsid w:val="59FB19B0"/>
    <w:rsid w:val="5A57E8D6"/>
    <w:rsid w:val="5A77D9A5"/>
    <w:rsid w:val="5AF76AF1"/>
    <w:rsid w:val="5B7B88C0"/>
    <w:rsid w:val="5BBDEE09"/>
    <w:rsid w:val="5BED2651"/>
    <w:rsid w:val="5C393C71"/>
    <w:rsid w:val="5CDF46DE"/>
    <w:rsid w:val="5D3DC926"/>
    <w:rsid w:val="5DD7235C"/>
    <w:rsid w:val="5DEF8D03"/>
    <w:rsid w:val="5DFE5995"/>
    <w:rsid w:val="5EDF0994"/>
    <w:rsid w:val="5EE800F0"/>
    <w:rsid w:val="5EFB503E"/>
    <w:rsid w:val="5EFC56E1"/>
    <w:rsid w:val="5F373A52"/>
    <w:rsid w:val="5F6F197E"/>
    <w:rsid w:val="5F7F9085"/>
    <w:rsid w:val="5F7FDC78"/>
    <w:rsid w:val="5FDF8087"/>
    <w:rsid w:val="5FFDE046"/>
    <w:rsid w:val="5FFF04AF"/>
    <w:rsid w:val="5FFFE3FB"/>
    <w:rsid w:val="6155CA73"/>
    <w:rsid w:val="63774E65"/>
    <w:rsid w:val="637E836B"/>
    <w:rsid w:val="65BF5FEA"/>
    <w:rsid w:val="65CFC12A"/>
    <w:rsid w:val="672FBD46"/>
    <w:rsid w:val="673F557B"/>
    <w:rsid w:val="676FADFC"/>
    <w:rsid w:val="67D74C29"/>
    <w:rsid w:val="6AFB5F52"/>
    <w:rsid w:val="6BFEA1A1"/>
    <w:rsid w:val="6D2E4546"/>
    <w:rsid w:val="6D5FD164"/>
    <w:rsid w:val="6D6FC8F5"/>
    <w:rsid w:val="6DF5DAD4"/>
    <w:rsid w:val="6DF7F445"/>
    <w:rsid w:val="6EBA3FD1"/>
    <w:rsid w:val="6EDDE8F7"/>
    <w:rsid w:val="6EEB0F80"/>
    <w:rsid w:val="6EEB15A0"/>
    <w:rsid w:val="6EFFB9EA"/>
    <w:rsid w:val="6F5F885F"/>
    <w:rsid w:val="6F7EEDEC"/>
    <w:rsid w:val="6FBF8900"/>
    <w:rsid w:val="6FDD6261"/>
    <w:rsid w:val="6FFD60C2"/>
    <w:rsid w:val="6FFD7C95"/>
    <w:rsid w:val="6FFDD6C4"/>
    <w:rsid w:val="6FFF0088"/>
    <w:rsid w:val="71CFF6B5"/>
    <w:rsid w:val="71F525FA"/>
    <w:rsid w:val="72FEDE5E"/>
    <w:rsid w:val="72FF501B"/>
    <w:rsid w:val="737750E8"/>
    <w:rsid w:val="73FE7CF7"/>
    <w:rsid w:val="73FF107D"/>
    <w:rsid w:val="754EEEB1"/>
    <w:rsid w:val="7557FEBA"/>
    <w:rsid w:val="75E61DC0"/>
    <w:rsid w:val="76FFA380"/>
    <w:rsid w:val="771458A8"/>
    <w:rsid w:val="77A983E8"/>
    <w:rsid w:val="77DF5F26"/>
    <w:rsid w:val="77EF107D"/>
    <w:rsid w:val="77F764EA"/>
    <w:rsid w:val="77FF75FB"/>
    <w:rsid w:val="799B44A3"/>
    <w:rsid w:val="79BFFEAE"/>
    <w:rsid w:val="79D63CB8"/>
    <w:rsid w:val="79F5B439"/>
    <w:rsid w:val="79FD380E"/>
    <w:rsid w:val="79FFDD2F"/>
    <w:rsid w:val="7BAD8D93"/>
    <w:rsid w:val="7BBCC156"/>
    <w:rsid w:val="7BEEA2B3"/>
    <w:rsid w:val="7BEF3109"/>
    <w:rsid w:val="7BF6D59C"/>
    <w:rsid w:val="7BFB23A7"/>
    <w:rsid w:val="7BFFE8AC"/>
    <w:rsid w:val="7C3F38B2"/>
    <w:rsid w:val="7C55ECE6"/>
    <w:rsid w:val="7C638DC4"/>
    <w:rsid w:val="7CBDAAD3"/>
    <w:rsid w:val="7CFFDC51"/>
    <w:rsid w:val="7D5EBB9D"/>
    <w:rsid w:val="7D7ED938"/>
    <w:rsid w:val="7DB75ECB"/>
    <w:rsid w:val="7DBF1A34"/>
    <w:rsid w:val="7DD31DED"/>
    <w:rsid w:val="7DEFDDDF"/>
    <w:rsid w:val="7DFF19FE"/>
    <w:rsid w:val="7E3F2CB6"/>
    <w:rsid w:val="7E7F87E2"/>
    <w:rsid w:val="7EBFCFD9"/>
    <w:rsid w:val="7EEED5BD"/>
    <w:rsid w:val="7EF7356D"/>
    <w:rsid w:val="7EFF29D2"/>
    <w:rsid w:val="7EFF8C82"/>
    <w:rsid w:val="7F27B795"/>
    <w:rsid w:val="7F2D5711"/>
    <w:rsid w:val="7F3F0B69"/>
    <w:rsid w:val="7F67B69A"/>
    <w:rsid w:val="7F691DF6"/>
    <w:rsid w:val="7F6A2A7B"/>
    <w:rsid w:val="7F7E18D4"/>
    <w:rsid w:val="7F7E2438"/>
    <w:rsid w:val="7FA7D017"/>
    <w:rsid w:val="7FC606BB"/>
    <w:rsid w:val="7FDBE250"/>
    <w:rsid w:val="7FE546A9"/>
    <w:rsid w:val="7FF1FC15"/>
    <w:rsid w:val="7FF5612B"/>
    <w:rsid w:val="7FF5F347"/>
    <w:rsid w:val="7FF5FBF5"/>
    <w:rsid w:val="7FF724C2"/>
    <w:rsid w:val="7FF94721"/>
    <w:rsid w:val="7FFD179B"/>
    <w:rsid w:val="7FFD217A"/>
    <w:rsid w:val="7FFEA2E1"/>
    <w:rsid w:val="7FFF0F29"/>
    <w:rsid w:val="7FFF1237"/>
    <w:rsid w:val="7FFF3F1A"/>
    <w:rsid w:val="7FFFBA2A"/>
    <w:rsid w:val="7FFFC211"/>
    <w:rsid w:val="85FBF07F"/>
    <w:rsid w:val="8AE625DD"/>
    <w:rsid w:val="927F58C9"/>
    <w:rsid w:val="94679341"/>
    <w:rsid w:val="99BF17A0"/>
    <w:rsid w:val="9BBE3660"/>
    <w:rsid w:val="A1CF161B"/>
    <w:rsid w:val="A33D1D72"/>
    <w:rsid w:val="A657A4DC"/>
    <w:rsid w:val="A6F3538A"/>
    <w:rsid w:val="A6FF99E8"/>
    <w:rsid w:val="AAFD3784"/>
    <w:rsid w:val="AD7B4620"/>
    <w:rsid w:val="ADA6EDB0"/>
    <w:rsid w:val="AFFD7CDF"/>
    <w:rsid w:val="B1AB688C"/>
    <w:rsid w:val="B3D7910F"/>
    <w:rsid w:val="B3FB653F"/>
    <w:rsid w:val="B4B5F3E8"/>
    <w:rsid w:val="B5BB9A2B"/>
    <w:rsid w:val="B5FA3DD1"/>
    <w:rsid w:val="B6B35E57"/>
    <w:rsid w:val="B6FF7066"/>
    <w:rsid w:val="B76F0C10"/>
    <w:rsid w:val="B77BEED0"/>
    <w:rsid w:val="BA7B23C6"/>
    <w:rsid w:val="BAF7031D"/>
    <w:rsid w:val="BBFBDF3A"/>
    <w:rsid w:val="BC7334BA"/>
    <w:rsid w:val="BD1B6431"/>
    <w:rsid w:val="BD67316E"/>
    <w:rsid w:val="BDFE278B"/>
    <w:rsid w:val="BE578F23"/>
    <w:rsid w:val="BEE7747A"/>
    <w:rsid w:val="BF4F6862"/>
    <w:rsid w:val="BF7FD59D"/>
    <w:rsid w:val="BF7FD7B1"/>
    <w:rsid w:val="BFBB8111"/>
    <w:rsid w:val="BFBF5AE9"/>
    <w:rsid w:val="BFCD2780"/>
    <w:rsid w:val="BFDD7E52"/>
    <w:rsid w:val="BFEC2CAF"/>
    <w:rsid w:val="BFF19580"/>
    <w:rsid w:val="BFFB15B7"/>
    <w:rsid w:val="BFFD019C"/>
    <w:rsid w:val="C3EF83CD"/>
    <w:rsid w:val="C5F6E379"/>
    <w:rsid w:val="C7FE7B34"/>
    <w:rsid w:val="C9B72934"/>
    <w:rsid w:val="CCF552FA"/>
    <w:rsid w:val="CE350226"/>
    <w:rsid w:val="CFEA2DFA"/>
    <w:rsid w:val="CFF03BD0"/>
    <w:rsid w:val="CFFA06E1"/>
    <w:rsid w:val="D39DE7B8"/>
    <w:rsid w:val="D3F7055E"/>
    <w:rsid w:val="D6AF382A"/>
    <w:rsid w:val="D6BF0ACF"/>
    <w:rsid w:val="D77F2EF9"/>
    <w:rsid w:val="D7EB5AA6"/>
    <w:rsid w:val="D9FFDD49"/>
    <w:rsid w:val="DAFFD122"/>
    <w:rsid w:val="DBAC290E"/>
    <w:rsid w:val="DBD9BD9E"/>
    <w:rsid w:val="DBEDD0DF"/>
    <w:rsid w:val="DBEE8307"/>
    <w:rsid w:val="DBEFC305"/>
    <w:rsid w:val="DDEA445A"/>
    <w:rsid w:val="DDFB27E7"/>
    <w:rsid w:val="DDFBC7BB"/>
    <w:rsid w:val="DECEC26D"/>
    <w:rsid w:val="DEFA81CF"/>
    <w:rsid w:val="DEFD218F"/>
    <w:rsid w:val="DF3F638C"/>
    <w:rsid w:val="DF779895"/>
    <w:rsid w:val="DF7D82E7"/>
    <w:rsid w:val="DFA77DA4"/>
    <w:rsid w:val="DFBB9AE1"/>
    <w:rsid w:val="DFBF41BF"/>
    <w:rsid w:val="DFDB470E"/>
    <w:rsid w:val="DFDB58BD"/>
    <w:rsid w:val="DFDF783A"/>
    <w:rsid w:val="DFF68E78"/>
    <w:rsid w:val="DFF6DA37"/>
    <w:rsid w:val="DFF762D2"/>
    <w:rsid w:val="DFFE66B0"/>
    <w:rsid w:val="E03FB10A"/>
    <w:rsid w:val="E5FEAC18"/>
    <w:rsid w:val="E7E91A76"/>
    <w:rsid w:val="E7FFC8F0"/>
    <w:rsid w:val="E8EB4EA6"/>
    <w:rsid w:val="E9EF1490"/>
    <w:rsid w:val="EBA371F6"/>
    <w:rsid w:val="EBC7918C"/>
    <w:rsid w:val="EBD59A6F"/>
    <w:rsid w:val="ED6784D4"/>
    <w:rsid w:val="ED9FFE6E"/>
    <w:rsid w:val="EDF1FE81"/>
    <w:rsid w:val="EDF66B7C"/>
    <w:rsid w:val="EDFFB218"/>
    <w:rsid w:val="EEDF79C5"/>
    <w:rsid w:val="EEFF5EAF"/>
    <w:rsid w:val="EF2F3B01"/>
    <w:rsid w:val="EF5EC2DA"/>
    <w:rsid w:val="EF5F9A59"/>
    <w:rsid w:val="EF6E4342"/>
    <w:rsid w:val="EFD1FB72"/>
    <w:rsid w:val="EFDE0121"/>
    <w:rsid w:val="EFDF0E9D"/>
    <w:rsid w:val="EFFB6A15"/>
    <w:rsid w:val="EFFB7F25"/>
    <w:rsid w:val="EFFFD6E2"/>
    <w:rsid w:val="F33169A4"/>
    <w:rsid w:val="F35AA8D8"/>
    <w:rsid w:val="F35DFE9C"/>
    <w:rsid w:val="F3AFC36E"/>
    <w:rsid w:val="F3BB1C68"/>
    <w:rsid w:val="F3BDBDE3"/>
    <w:rsid w:val="F3DBB8AF"/>
    <w:rsid w:val="F3FDCCBD"/>
    <w:rsid w:val="F4DFA374"/>
    <w:rsid w:val="F4FF5110"/>
    <w:rsid w:val="F5DFA719"/>
    <w:rsid w:val="F5E305C7"/>
    <w:rsid w:val="F67FDA53"/>
    <w:rsid w:val="F6E7AEA6"/>
    <w:rsid w:val="F75B1DFF"/>
    <w:rsid w:val="F767F5EB"/>
    <w:rsid w:val="F76F5722"/>
    <w:rsid w:val="F7AB224F"/>
    <w:rsid w:val="F7B70D5B"/>
    <w:rsid w:val="F7BF236B"/>
    <w:rsid w:val="F7BF8D5E"/>
    <w:rsid w:val="F7D789E5"/>
    <w:rsid w:val="F7EBCB23"/>
    <w:rsid w:val="F7EEA36B"/>
    <w:rsid w:val="F7EED989"/>
    <w:rsid w:val="F7F32454"/>
    <w:rsid w:val="F7F5E6E5"/>
    <w:rsid w:val="F7FC85E2"/>
    <w:rsid w:val="F7FF1FA2"/>
    <w:rsid w:val="F81FAF83"/>
    <w:rsid w:val="F9CBBCAB"/>
    <w:rsid w:val="F9F7C867"/>
    <w:rsid w:val="FA1F70C2"/>
    <w:rsid w:val="FA337E54"/>
    <w:rsid w:val="FA8B4F7B"/>
    <w:rsid w:val="FAD7D225"/>
    <w:rsid w:val="FAE5BDF8"/>
    <w:rsid w:val="FAE6CF65"/>
    <w:rsid w:val="FAEFA85C"/>
    <w:rsid w:val="FAFFCCE2"/>
    <w:rsid w:val="FB12FD4D"/>
    <w:rsid w:val="FBB6F74F"/>
    <w:rsid w:val="FC178FF1"/>
    <w:rsid w:val="FC3F8E67"/>
    <w:rsid w:val="FCB50206"/>
    <w:rsid w:val="FCD7E998"/>
    <w:rsid w:val="FD338641"/>
    <w:rsid w:val="FD4F64D9"/>
    <w:rsid w:val="FD6E3A79"/>
    <w:rsid w:val="FD7696CE"/>
    <w:rsid w:val="FD7D506A"/>
    <w:rsid w:val="FD7F8F96"/>
    <w:rsid w:val="FD9939FF"/>
    <w:rsid w:val="FDBBA88E"/>
    <w:rsid w:val="FDBC9950"/>
    <w:rsid w:val="FDCB1441"/>
    <w:rsid w:val="FDDB3942"/>
    <w:rsid w:val="FDDD7C3A"/>
    <w:rsid w:val="FDE98F6A"/>
    <w:rsid w:val="FDEA367A"/>
    <w:rsid w:val="FDF7E773"/>
    <w:rsid w:val="FDFE7D10"/>
    <w:rsid w:val="FDFFA251"/>
    <w:rsid w:val="FE774A1A"/>
    <w:rsid w:val="FE7B7CB0"/>
    <w:rsid w:val="FE7FFC80"/>
    <w:rsid w:val="FEBB737D"/>
    <w:rsid w:val="FEBFAF14"/>
    <w:rsid w:val="FED4B4E8"/>
    <w:rsid w:val="FEFBE4A2"/>
    <w:rsid w:val="FF3EE443"/>
    <w:rsid w:val="FF3F46EF"/>
    <w:rsid w:val="FF5B7B1A"/>
    <w:rsid w:val="FF670E7E"/>
    <w:rsid w:val="FF6FD1D1"/>
    <w:rsid w:val="FF7BC8AF"/>
    <w:rsid w:val="FF7FB084"/>
    <w:rsid w:val="FF8D6015"/>
    <w:rsid w:val="FF9EBD19"/>
    <w:rsid w:val="FF9FECA5"/>
    <w:rsid w:val="FFAEF9A9"/>
    <w:rsid w:val="FFAF08F6"/>
    <w:rsid w:val="FFBF07E5"/>
    <w:rsid w:val="FFED28B6"/>
    <w:rsid w:val="FFF3BC83"/>
    <w:rsid w:val="FFF55B71"/>
    <w:rsid w:val="FFFA6675"/>
    <w:rsid w:val="FFFBB33D"/>
    <w:rsid w:val="FFFBE00B"/>
    <w:rsid w:val="FFFCA981"/>
    <w:rsid w:val="FFFDCCA9"/>
    <w:rsid w:val="FFFF488F"/>
    <w:rsid w:val="FFFF4A82"/>
    <w:rsid w:val="FFFF678C"/>
    <w:rsid w:val="FFFFBF4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33"/>
    <w:qFormat/>
    <w:uiPriority w:val="0"/>
    <w:pPr>
      <w:keepNext/>
      <w:keepLines/>
      <w:snapToGrid w:val="0"/>
      <w:spacing w:beforeLines="50" w:afterLines="50" w:line="360" w:lineRule="auto"/>
      <w:jc w:val="center"/>
      <w:outlineLvl w:val="0"/>
    </w:pPr>
    <w:rPr>
      <w:rFonts w:ascii="仿宋_GB2312" w:eastAsia="仿宋_GB2312"/>
      <w:b/>
      <w:kern w:val="44"/>
      <w:sz w:val="44"/>
      <w:szCs w:val="24"/>
    </w:rPr>
  </w:style>
  <w:style w:type="paragraph" w:styleId="4">
    <w:name w:val="heading 2"/>
    <w:basedOn w:val="1"/>
    <w:next w:val="1"/>
    <w:link w:val="34"/>
    <w:unhideWhenUsed/>
    <w:qFormat/>
    <w:uiPriority w:val="0"/>
    <w:pPr>
      <w:keepNext/>
      <w:keepLines/>
      <w:spacing w:beforeLines="100" w:afterLines="100" w:line="560" w:lineRule="exact"/>
      <w:ind w:firstLine="643" w:firstLineChars="200"/>
      <w:jc w:val="left"/>
      <w:outlineLvl w:val="1"/>
    </w:pPr>
    <w:rPr>
      <w:rFonts w:ascii="仿宋_GB2312" w:hAnsi="Arial" w:eastAsia="仿宋_GB2312"/>
      <w:b/>
      <w:sz w:val="32"/>
      <w:szCs w:val="32"/>
    </w:rPr>
  </w:style>
  <w:style w:type="paragraph" w:styleId="5">
    <w:name w:val="heading 3"/>
    <w:basedOn w:val="1"/>
    <w:next w:val="1"/>
    <w:link w:val="35"/>
    <w:unhideWhenUsed/>
    <w:qFormat/>
    <w:uiPriority w:val="0"/>
    <w:pPr>
      <w:keepNext/>
      <w:keepLines/>
      <w:spacing w:before="120" w:after="120" w:line="360" w:lineRule="auto"/>
      <w:ind w:firstLine="562" w:firstLineChars="200"/>
      <w:outlineLvl w:val="2"/>
    </w:pPr>
    <w:rPr>
      <w:rFonts w:ascii="仿宋_GB2312" w:eastAsia="仿宋_GB2312"/>
      <w:b/>
      <w:bCs/>
      <w:sz w:val="28"/>
      <w:szCs w:val="32"/>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2">
    <w:name w:val="Heading2"/>
    <w:basedOn w:val="1"/>
    <w:next w:val="1"/>
    <w:qFormat/>
    <w:uiPriority w:val="0"/>
    <w:pPr>
      <w:keepNext/>
      <w:keepLines/>
      <w:numPr>
        <w:ilvl w:val="0"/>
        <w:numId w:val="1"/>
      </w:numPr>
      <w:spacing w:before="120" w:after="120"/>
      <w:textAlignment w:val="baseline"/>
    </w:pPr>
    <w:rPr>
      <w:rFonts w:ascii="Cambria" w:hAnsi="Cambria" w:eastAsia="楷体"/>
      <w:szCs w:val="24"/>
    </w:rPr>
  </w:style>
  <w:style w:type="paragraph" w:styleId="6">
    <w:name w:val="toc 7"/>
    <w:basedOn w:val="1"/>
    <w:next w:val="1"/>
    <w:unhideWhenUsed/>
    <w:qFormat/>
    <w:uiPriority w:val="39"/>
    <w:pPr>
      <w:ind w:left="2520" w:leftChars="1200"/>
    </w:pPr>
  </w:style>
  <w:style w:type="paragraph" w:styleId="7">
    <w:name w:val="annotation text"/>
    <w:basedOn w:val="1"/>
    <w:link w:val="43"/>
    <w:qFormat/>
    <w:uiPriority w:val="0"/>
    <w:pPr>
      <w:jc w:val="left"/>
    </w:pPr>
    <w:rPr>
      <w:szCs w:val="24"/>
    </w:rPr>
  </w:style>
  <w:style w:type="paragraph" w:styleId="8">
    <w:name w:val="Body Text"/>
    <w:basedOn w:val="1"/>
    <w:link w:val="36"/>
    <w:semiHidden/>
    <w:qFormat/>
    <w:uiPriority w:val="0"/>
    <w:pPr>
      <w:jc w:val="center"/>
    </w:pPr>
    <w:rPr>
      <w:rFonts w:ascii="Times New Roman" w:hAnsi="Times New Roman" w:eastAsia="华文中宋" w:cs="Times New Roman"/>
      <w:b/>
      <w:bCs/>
      <w:sz w:val="44"/>
      <w:szCs w:val="24"/>
    </w:rPr>
  </w:style>
  <w:style w:type="paragraph" w:styleId="9">
    <w:name w:val="Body Text Indent"/>
    <w:basedOn w:val="1"/>
    <w:link w:val="44"/>
    <w:qFormat/>
    <w:uiPriority w:val="0"/>
    <w:pPr>
      <w:spacing w:line="580" w:lineRule="exact"/>
      <w:ind w:firstLine="645"/>
    </w:pPr>
    <w:rPr>
      <w:rFonts w:ascii="仿宋_GB2312" w:hAnsi="Times New Roman" w:eastAsia="仿宋_GB2312" w:cs="Times New Roman"/>
      <w:sz w:val="32"/>
      <w:szCs w:val="20"/>
    </w:rPr>
  </w:style>
  <w:style w:type="paragraph" w:styleId="10">
    <w:name w:val="toc 5"/>
    <w:basedOn w:val="1"/>
    <w:next w:val="1"/>
    <w:unhideWhenUsed/>
    <w:qFormat/>
    <w:uiPriority w:val="39"/>
    <w:pPr>
      <w:ind w:left="1680" w:leftChars="800"/>
    </w:pPr>
  </w:style>
  <w:style w:type="paragraph" w:styleId="11">
    <w:name w:val="toc 3"/>
    <w:basedOn w:val="1"/>
    <w:next w:val="1"/>
    <w:unhideWhenUsed/>
    <w:qFormat/>
    <w:uiPriority w:val="39"/>
    <w:pPr>
      <w:ind w:left="840" w:leftChars="400"/>
    </w:pPr>
  </w:style>
  <w:style w:type="paragraph" w:styleId="12">
    <w:name w:val="Plain Text"/>
    <w:basedOn w:val="1"/>
    <w:qFormat/>
    <w:uiPriority w:val="0"/>
    <w:rPr>
      <w:rFonts w:ascii="宋体" w:hAnsi="Courier New"/>
    </w:rPr>
  </w:style>
  <w:style w:type="paragraph" w:styleId="13">
    <w:name w:val="toc 8"/>
    <w:basedOn w:val="1"/>
    <w:next w:val="1"/>
    <w:unhideWhenUsed/>
    <w:qFormat/>
    <w:uiPriority w:val="39"/>
    <w:pPr>
      <w:ind w:left="2940" w:leftChars="1400"/>
    </w:pPr>
  </w:style>
  <w:style w:type="paragraph" w:styleId="14">
    <w:name w:val="Date"/>
    <w:basedOn w:val="1"/>
    <w:next w:val="1"/>
    <w:link w:val="37"/>
    <w:unhideWhenUsed/>
    <w:qFormat/>
    <w:uiPriority w:val="0"/>
    <w:pPr>
      <w:ind w:left="100" w:leftChars="2500"/>
    </w:pPr>
  </w:style>
  <w:style w:type="paragraph" w:styleId="15">
    <w:name w:val="Balloon Text"/>
    <w:basedOn w:val="1"/>
    <w:link w:val="38"/>
    <w:unhideWhenUsed/>
    <w:qFormat/>
    <w:uiPriority w:val="0"/>
    <w:rPr>
      <w:sz w:val="18"/>
      <w:szCs w:val="18"/>
    </w:rPr>
  </w:style>
  <w:style w:type="paragraph" w:styleId="16">
    <w:name w:val="footer"/>
    <w:basedOn w:val="1"/>
    <w:link w:val="39"/>
    <w:unhideWhenUsed/>
    <w:qFormat/>
    <w:uiPriority w:val="99"/>
    <w:pPr>
      <w:tabs>
        <w:tab w:val="center" w:pos="4153"/>
        <w:tab w:val="right" w:pos="8306"/>
      </w:tabs>
      <w:snapToGrid w:val="0"/>
      <w:jc w:val="left"/>
    </w:pPr>
    <w:rPr>
      <w:sz w:val="18"/>
      <w:szCs w:val="18"/>
    </w:rPr>
  </w:style>
  <w:style w:type="paragraph" w:styleId="17">
    <w:name w:val="header"/>
    <w:basedOn w:val="1"/>
    <w:link w:val="40"/>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qFormat/>
    <w:uiPriority w:val="39"/>
    <w:pPr>
      <w:tabs>
        <w:tab w:val="right" w:leader="dot" w:pos="8296"/>
      </w:tabs>
    </w:pPr>
    <w:rPr>
      <w:rFonts w:ascii="仿宋_GB2312" w:eastAsia="仿宋_GB2312"/>
      <w:b/>
      <w:szCs w:val="24"/>
    </w:rPr>
  </w:style>
  <w:style w:type="paragraph" w:styleId="19">
    <w:name w:val="toc 4"/>
    <w:basedOn w:val="1"/>
    <w:next w:val="1"/>
    <w:unhideWhenUsed/>
    <w:qFormat/>
    <w:uiPriority w:val="39"/>
    <w:pPr>
      <w:ind w:left="1260" w:leftChars="600"/>
    </w:pPr>
  </w:style>
  <w:style w:type="paragraph" w:styleId="20">
    <w:name w:val="toc 6"/>
    <w:basedOn w:val="1"/>
    <w:next w:val="1"/>
    <w:unhideWhenUsed/>
    <w:qFormat/>
    <w:uiPriority w:val="39"/>
    <w:pPr>
      <w:ind w:left="2100" w:leftChars="1000"/>
    </w:pPr>
  </w:style>
  <w:style w:type="paragraph" w:styleId="21">
    <w:name w:val="toc 2"/>
    <w:basedOn w:val="1"/>
    <w:next w:val="1"/>
    <w:qFormat/>
    <w:uiPriority w:val="39"/>
    <w:pPr>
      <w:ind w:left="420" w:leftChars="200"/>
    </w:pPr>
    <w:rPr>
      <w:szCs w:val="24"/>
    </w:rPr>
  </w:style>
  <w:style w:type="paragraph" w:styleId="22">
    <w:name w:val="toc 9"/>
    <w:basedOn w:val="1"/>
    <w:next w:val="1"/>
    <w:unhideWhenUsed/>
    <w:qFormat/>
    <w:uiPriority w:val="39"/>
    <w:pPr>
      <w:ind w:left="3360" w:leftChars="1600"/>
    </w:pPr>
  </w:style>
  <w:style w:type="paragraph" w:styleId="23">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24">
    <w:name w:val="Title"/>
    <w:basedOn w:val="1"/>
    <w:next w:val="1"/>
    <w:link w:val="45"/>
    <w:qFormat/>
    <w:uiPriority w:val="0"/>
    <w:pPr>
      <w:spacing w:before="240" w:after="60"/>
      <w:jc w:val="center"/>
      <w:outlineLvl w:val="0"/>
    </w:pPr>
    <w:rPr>
      <w:rFonts w:eastAsia="黑体" w:asciiTheme="majorHAnsi" w:hAnsiTheme="majorHAnsi" w:cstheme="majorBidi"/>
      <w:b/>
      <w:bCs/>
      <w:sz w:val="32"/>
      <w:szCs w:val="32"/>
    </w:rPr>
  </w:style>
  <w:style w:type="paragraph" w:styleId="25">
    <w:name w:val="annotation subject"/>
    <w:basedOn w:val="7"/>
    <w:next w:val="7"/>
    <w:link w:val="46"/>
    <w:qFormat/>
    <w:uiPriority w:val="0"/>
    <w:rPr>
      <w:b/>
      <w:bCs/>
    </w:rPr>
  </w:style>
  <w:style w:type="table" w:styleId="27">
    <w:name w:val="Table Grid"/>
    <w:basedOn w:val="2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9">
    <w:name w:val="Strong"/>
    <w:basedOn w:val="28"/>
    <w:qFormat/>
    <w:uiPriority w:val="22"/>
    <w:rPr>
      <w:b/>
      <w:bCs/>
    </w:rPr>
  </w:style>
  <w:style w:type="character" w:styleId="30">
    <w:name w:val="Emphasis"/>
    <w:basedOn w:val="28"/>
    <w:qFormat/>
    <w:uiPriority w:val="20"/>
    <w:rPr>
      <w:i/>
      <w:iCs/>
    </w:rPr>
  </w:style>
  <w:style w:type="character" w:styleId="31">
    <w:name w:val="Hyperlink"/>
    <w:basedOn w:val="28"/>
    <w:qFormat/>
    <w:uiPriority w:val="99"/>
    <w:rPr>
      <w:color w:val="0000FF"/>
      <w:u w:val="single"/>
    </w:rPr>
  </w:style>
  <w:style w:type="character" w:styleId="32">
    <w:name w:val="annotation reference"/>
    <w:basedOn w:val="28"/>
    <w:qFormat/>
    <w:uiPriority w:val="0"/>
    <w:rPr>
      <w:sz w:val="21"/>
      <w:szCs w:val="21"/>
    </w:rPr>
  </w:style>
  <w:style w:type="character" w:customStyle="1" w:styleId="33">
    <w:name w:val="标题 1 Char"/>
    <w:basedOn w:val="28"/>
    <w:link w:val="3"/>
    <w:qFormat/>
    <w:uiPriority w:val="0"/>
    <w:rPr>
      <w:rFonts w:ascii="仿宋_GB2312" w:eastAsia="仿宋_GB2312" w:hAnsiTheme="minorHAnsi" w:cstheme="minorBidi"/>
      <w:b/>
      <w:kern w:val="44"/>
      <w:sz w:val="44"/>
      <w:szCs w:val="24"/>
    </w:rPr>
  </w:style>
  <w:style w:type="character" w:customStyle="1" w:styleId="34">
    <w:name w:val="标题 2 Char"/>
    <w:basedOn w:val="28"/>
    <w:link w:val="4"/>
    <w:qFormat/>
    <w:uiPriority w:val="0"/>
    <w:rPr>
      <w:rFonts w:ascii="仿宋_GB2312" w:hAnsi="Arial" w:eastAsia="仿宋_GB2312" w:cstheme="minorBidi"/>
      <w:b/>
      <w:kern w:val="2"/>
      <w:sz w:val="32"/>
      <w:szCs w:val="32"/>
    </w:rPr>
  </w:style>
  <w:style w:type="character" w:customStyle="1" w:styleId="35">
    <w:name w:val="标题 3 Char"/>
    <w:basedOn w:val="28"/>
    <w:link w:val="5"/>
    <w:qFormat/>
    <w:uiPriority w:val="0"/>
    <w:rPr>
      <w:rFonts w:ascii="仿宋_GB2312" w:eastAsia="仿宋_GB2312" w:hAnsiTheme="minorHAnsi" w:cstheme="minorBidi"/>
      <w:b/>
      <w:bCs/>
      <w:kern w:val="2"/>
      <w:sz w:val="28"/>
      <w:szCs w:val="32"/>
    </w:rPr>
  </w:style>
  <w:style w:type="character" w:customStyle="1" w:styleId="36">
    <w:name w:val="正文文本 Char"/>
    <w:basedOn w:val="28"/>
    <w:link w:val="8"/>
    <w:semiHidden/>
    <w:qFormat/>
    <w:uiPriority w:val="0"/>
    <w:rPr>
      <w:rFonts w:ascii="Times New Roman" w:hAnsi="Times New Roman" w:eastAsia="华文中宋" w:cs="Times New Roman"/>
      <w:b/>
      <w:bCs/>
      <w:kern w:val="2"/>
      <w:sz w:val="44"/>
      <w:szCs w:val="24"/>
    </w:rPr>
  </w:style>
  <w:style w:type="character" w:customStyle="1" w:styleId="37">
    <w:name w:val="日期 Char"/>
    <w:basedOn w:val="28"/>
    <w:link w:val="14"/>
    <w:qFormat/>
    <w:uiPriority w:val="0"/>
    <w:rPr>
      <w:kern w:val="2"/>
      <w:sz w:val="21"/>
      <w:szCs w:val="22"/>
    </w:rPr>
  </w:style>
  <w:style w:type="character" w:customStyle="1" w:styleId="38">
    <w:name w:val="批注框文本 Char"/>
    <w:basedOn w:val="28"/>
    <w:link w:val="15"/>
    <w:qFormat/>
    <w:uiPriority w:val="0"/>
    <w:rPr>
      <w:sz w:val="18"/>
      <w:szCs w:val="18"/>
    </w:rPr>
  </w:style>
  <w:style w:type="character" w:customStyle="1" w:styleId="39">
    <w:name w:val="页脚 Char"/>
    <w:basedOn w:val="28"/>
    <w:link w:val="16"/>
    <w:qFormat/>
    <w:uiPriority w:val="99"/>
    <w:rPr>
      <w:sz w:val="18"/>
      <w:szCs w:val="18"/>
    </w:rPr>
  </w:style>
  <w:style w:type="character" w:customStyle="1" w:styleId="40">
    <w:name w:val="页眉 Char"/>
    <w:basedOn w:val="28"/>
    <w:link w:val="17"/>
    <w:qFormat/>
    <w:uiPriority w:val="99"/>
    <w:rPr>
      <w:sz w:val="18"/>
      <w:szCs w:val="18"/>
    </w:rPr>
  </w:style>
  <w:style w:type="paragraph" w:styleId="41">
    <w:name w:val="List Paragraph"/>
    <w:basedOn w:val="1"/>
    <w:qFormat/>
    <w:uiPriority w:val="99"/>
    <w:pPr>
      <w:ind w:firstLine="420" w:firstLineChars="200"/>
    </w:pPr>
  </w:style>
  <w:style w:type="character" w:customStyle="1" w:styleId="42">
    <w:name w:val="NormalCharacter"/>
    <w:semiHidden/>
    <w:qFormat/>
    <w:uiPriority w:val="0"/>
  </w:style>
  <w:style w:type="character" w:customStyle="1" w:styleId="43">
    <w:name w:val="批注文字 Char"/>
    <w:basedOn w:val="28"/>
    <w:link w:val="7"/>
    <w:qFormat/>
    <w:uiPriority w:val="0"/>
    <w:rPr>
      <w:rFonts w:asciiTheme="minorHAnsi" w:hAnsiTheme="minorHAnsi" w:eastAsiaTheme="minorEastAsia" w:cstheme="minorBidi"/>
      <w:kern w:val="2"/>
      <w:sz w:val="21"/>
      <w:szCs w:val="24"/>
    </w:rPr>
  </w:style>
  <w:style w:type="character" w:customStyle="1" w:styleId="44">
    <w:name w:val="正文文本缩进 Char"/>
    <w:basedOn w:val="28"/>
    <w:link w:val="9"/>
    <w:qFormat/>
    <w:uiPriority w:val="0"/>
    <w:rPr>
      <w:rFonts w:ascii="仿宋_GB2312" w:eastAsia="仿宋_GB2312"/>
      <w:kern w:val="2"/>
      <w:sz w:val="32"/>
    </w:rPr>
  </w:style>
  <w:style w:type="character" w:customStyle="1" w:styleId="45">
    <w:name w:val="标题 Char"/>
    <w:basedOn w:val="28"/>
    <w:link w:val="24"/>
    <w:qFormat/>
    <w:uiPriority w:val="0"/>
    <w:rPr>
      <w:rFonts w:eastAsia="黑体" w:asciiTheme="majorHAnsi" w:hAnsiTheme="majorHAnsi" w:cstheme="majorBidi"/>
      <w:b/>
      <w:bCs/>
      <w:kern w:val="2"/>
      <w:sz w:val="32"/>
      <w:szCs w:val="32"/>
    </w:rPr>
  </w:style>
  <w:style w:type="character" w:customStyle="1" w:styleId="46">
    <w:name w:val="批注主题 Char"/>
    <w:basedOn w:val="43"/>
    <w:link w:val="25"/>
    <w:qFormat/>
    <w:uiPriority w:val="0"/>
    <w:rPr>
      <w:b/>
      <w:bCs/>
    </w:rPr>
  </w:style>
  <w:style w:type="paragraph" w:customStyle="1" w:styleId="47">
    <w:name w:val="BodyText1I2"/>
    <w:basedOn w:val="48"/>
    <w:qFormat/>
    <w:uiPriority w:val="0"/>
    <w:pPr>
      <w:ind w:firstLine="420" w:firstLineChars="200"/>
    </w:pPr>
  </w:style>
  <w:style w:type="paragraph" w:customStyle="1" w:styleId="48">
    <w:name w:val="BodyTextIndent"/>
    <w:basedOn w:val="1"/>
    <w:next w:val="49"/>
    <w:qFormat/>
    <w:uiPriority w:val="0"/>
    <w:pPr>
      <w:spacing w:after="120"/>
      <w:ind w:left="420" w:leftChars="200"/>
      <w:textAlignment w:val="baseline"/>
    </w:pPr>
    <w:rPr>
      <w:rFonts w:ascii="Calibri" w:hAnsi="Calibri" w:eastAsia="宋体" w:cs="Times New Roman"/>
      <w:szCs w:val="24"/>
    </w:rPr>
  </w:style>
  <w:style w:type="paragraph" w:customStyle="1" w:styleId="49">
    <w:name w:val="NormalIndent"/>
    <w:basedOn w:val="1"/>
    <w:qFormat/>
    <w:uiPriority w:val="0"/>
    <w:pPr>
      <w:spacing w:beforeLines="50" w:line="360" w:lineRule="auto"/>
      <w:jc w:val="left"/>
      <w:textAlignment w:val="baseline"/>
    </w:pPr>
    <w:rPr>
      <w:rFonts w:ascii="仿宋_GB2312" w:hAnsi="仿宋" w:eastAsia="仿宋_GB2312" w:cs="Times New Roman"/>
      <w:b/>
      <w:sz w:val="28"/>
      <w:szCs w:val="24"/>
    </w:rPr>
  </w:style>
  <w:style w:type="character" w:customStyle="1" w:styleId="50">
    <w:name w:val="bjh-p"/>
    <w:basedOn w:val="28"/>
    <w:qFormat/>
    <w:uiPriority w:val="0"/>
    <w:rPr>
      <w:rFonts w:eastAsia="仿宋_GB2312"/>
      <w:sz w:val="32"/>
    </w:rPr>
  </w:style>
  <w:style w:type="paragraph" w:customStyle="1" w:styleId="51">
    <w:name w:val="TOC 标题1"/>
    <w:basedOn w:val="3"/>
    <w:next w:val="1"/>
    <w:unhideWhenUsed/>
    <w:qFormat/>
    <w:uiPriority w:val="39"/>
    <w:pPr>
      <w:widowControl/>
      <w:spacing w:before="240" w:line="259" w:lineRule="auto"/>
      <w:jc w:val="left"/>
      <w:outlineLvl w:val="9"/>
    </w:pPr>
    <w:rPr>
      <w:rFonts w:asciiTheme="majorHAnsi" w:hAnsiTheme="majorHAnsi" w:eastAsiaTheme="majorEastAsia" w:cstheme="majorBidi"/>
      <w:b w:val="0"/>
      <w:color w:val="366091" w:themeColor="accent1" w:themeShade="BF"/>
      <w:kern w:val="0"/>
      <w:sz w:val="32"/>
      <w:szCs w:val="32"/>
    </w:rPr>
  </w:style>
  <w:style w:type="paragraph" w:customStyle="1" w:styleId="52">
    <w:name w:val="TOC 标题2"/>
    <w:basedOn w:val="3"/>
    <w:next w:val="1"/>
    <w:unhideWhenUsed/>
    <w:qFormat/>
    <w:uiPriority w:val="39"/>
    <w:pPr>
      <w:widowControl/>
      <w:spacing w:before="240" w:line="259" w:lineRule="auto"/>
      <w:jc w:val="left"/>
      <w:outlineLvl w:val="9"/>
    </w:pPr>
    <w:rPr>
      <w:rFonts w:asciiTheme="majorHAnsi" w:hAnsiTheme="majorHAnsi" w:eastAsiaTheme="majorEastAsia" w:cstheme="majorBidi"/>
      <w:b w:val="0"/>
      <w:color w:val="366091" w:themeColor="accent1" w:themeShade="BF"/>
      <w:kern w:val="0"/>
      <w:sz w:val="32"/>
      <w:szCs w:val="32"/>
    </w:rPr>
  </w:style>
  <w:style w:type="character" w:customStyle="1" w:styleId="53">
    <w:name w:val="ref"/>
    <w:basedOn w:val="28"/>
    <w:qFormat/>
    <w:uiPriority w:val="0"/>
  </w:style>
  <w:style w:type="character" w:customStyle="1" w:styleId="54">
    <w:name w:val="fwzhdz"/>
    <w:basedOn w:val="28"/>
    <w:qFormat/>
    <w:uiPriority w:val="0"/>
  </w:style>
  <w:style w:type="character" w:customStyle="1" w:styleId="55">
    <w:name w:val="fwzhnf"/>
    <w:basedOn w:val="28"/>
    <w:qFormat/>
    <w:uiPriority w:val="0"/>
  </w:style>
  <w:style w:type="character" w:customStyle="1" w:styleId="56">
    <w:name w:val="fwzhxh"/>
    <w:basedOn w:val="28"/>
    <w:qFormat/>
    <w:uiPriority w:val="0"/>
  </w:style>
  <w:style w:type="character" w:customStyle="1" w:styleId="57">
    <w:name w:val="text_wx2j3"/>
    <w:basedOn w:val="28"/>
    <w:qFormat/>
    <w:uiPriority w:val="0"/>
  </w:style>
  <w:style w:type="character" w:customStyle="1" w:styleId="58">
    <w:name w:val="text_vtes5"/>
    <w:basedOn w:val="28"/>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MS</Company>
  <Pages>351</Pages>
  <Words>25795</Words>
  <Characters>147035</Characters>
  <Lines>1225</Lines>
  <Paragraphs>344</Paragraphs>
  <TotalTime>178</TotalTime>
  <ScaleCrop>false</ScaleCrop>
  <LinksUpToDate>false</LinksUpToDate>
  <CharactersWithSpaces>172486</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2021-04-04T01:14:00Z</dcterms:created>
  <dc:creator>USER-</dc:creator>
  <cp:lastModifiedBy>uos</cp:lastModifiedBy>
  <cp:lastPrinted>2023-11-18T07:03:00Z</cp:lastPrinted>
  <dcterms:modified xsi:type="dcterms:W3CDTF">2023-11-22T12:25:47Z</dcterms:modified>
  <cp:revision>115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A000425658B7866CA0832C6584677690_42</vt:lpwstr>
  </property>
</Properties>
</file>